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6436" w:rsidRPr="008E662E" w:rsidRDefault="00583A83" w:rsidP="009E5A80">
      <w:pPr>
        <w:jc w:val="right"/>
        <w:rPr>
          <w:lang w:eastAsia="pl-PL"/>
        </w:rPr>
      </w:pPr>
      <w:r w:rsidRPr="00A0772B">
        <w:rPr>
          <w:b/>
          <w:noProof/>
          <w:lang w:eastAsia="pl-PL"/>
        </w:rPr>
        <w:drawing>
          <wp:anchor distT="0" distB="0" distL="114300" distR="114300" simplePos="0" relativeHeight="251657728" behindDoc="1" locked="0" layoutInCell="1" allowOverlap="1">
            <wp:simplePos x="0" y="0"/>
            <wp:positionH relativeFrom="column">
              <wp:posOffset>871327</wp:posOffset>
            </wp:positionH>
            <wp:positionV relativeFrom="paragraph">
              <wp:posOffset>-956310</wp:posOffset>
            </wp:positionV>
            <wp:extent cx="5705475" cy="627380"/>
            <wp:effectExtent l="0" t="0" r="9525" b="1270"/>
            <wp:wrapNone/>
            <wp:docPr id="79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05475" cy="627380"/>
                    </a:xfrm>
                    <a:prstGeom prst="rect">
                      <a:avLst/>
                    </a:prstGeom>
                  </pic:spPr>
                </pic:pic>
              </a:graphicData>
            </a:graphic>
          </wp:anchor>
        </w:drawing>
      </w:r>
      <w:r w:rsidR="001B04AC">
        <w:rPr>
          <w:noProof/>
          <w:lang w:eastAsia="pl-PL"/>
        </w:rPr>
        <w:pict>
          <v:rect id="_x0000_s1026" style="position:absolute;left:0;text-align:left;margin-left:-17.75pt;margin-top:-6.5pt;width:157.05pt;height:859.05pt;z-index:-251565056;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" fillcolor="#1f497d" stroked="f" strokeweight="2pt">
            <v:path arrowok="t"/>
            <w10:wrap anchorx="page" anchory="page"/>
          </v:rect>
        </w:pict>
      </w:r>
      <w:r w:rsidR="001B04AC">
        <w:rPr>
          <w:noProof/>
          <w:lang w:eastAsia="pl-PL"/>
        </w:rPr>
        <w:pict>
          <v:shapetype id="_x0000_t202" coordsize="21600,21600" o:spt="202" path="m,l,21600r21600,l21600,xe">
            <v:stroke joinstyle="miter"/>
            <v:path gradientshapeok="t" o:connecttype="rect"/>
          </v:shapetype>
          <v:shape id="Pole tekstowe 18" o:spid="_x0000_s1251" type="#_x0000_t202" style="position:absolute;left:0;text-align:left;margin-left:-9.4pt;margin-top:26.05pt;width:507.2pt;height:291.7pt;z-index:2517524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" fillcolor="#d9d9d9 [2894]" stroked="f" strokeweight=".5pt">
            <v:path arrowok="t"/>
            <v:textbox>
              <w:txbxContent>
                <w:p w:rsidR="00832320" w:rsidRPr="001D68EE" w:rsidRDefault="00832320" w:rsidP="0083413C">
                  <w:pPr>
                    <w:pStyle w:val="Tytu"/>
                    <w:spacing w:before="100" w:beforeAutospacing="1"/>
                    <w:ind w:left="1701" w:right="1701"/>
                    <w:jc w:val="center"/>
                    <w:rPr>
                      <w:sz w:val="42"/>
                      <w:szCs w:val="36"/>
                    </w:rPr>
                  </w:pPr>
                  <w:r>
                    <w:rPr>
                      <w:sz w:val="42"/>
                      <w:szCs w:val="36"/>
                    </w:rPr>
                    <w:t xml:space="preserve">Ewaluacja ex-ante </w:t>
                  </w:r>
                  <w:r>
                    <w:rPr>
                      <w:sz w:val="42"/>
                      <w:szCs w:val="36"/>
                    </w:rPr>
                    <w:br/>
                  </w:r>
                  <w:r w:rsidRPr="0083413C">
                    <w:rPr>
                      <w:b/>
                      <w:i/>
                      <w:sz w:val="42"/>
                      <w:szCs w:val="36"/>
                    </w:rPr>
                    <w:t>Regionalnego Programu Operacyjnego Województwa Podkarpackiego na lata 2014-2020</w:t>
                  </w:r>
                  <w:r w:rsidRPr="00FF6EEB">
                    <w:rPr>
                      <w:i/>
                      <w:sz w:val="36"/>
                      <w:szCs w:val="36"/>
                    </w:rPr>
                    <w:br/>
                  </w:r>
                </w:p>
                <w:p w:rsidR="00832320" w:rsidRPr="00102EA9" w:rsidRDefault="00832320" w:rsidP="0083413C">
                  <w:pPr>
                    <w:pStyle w:val="Podtytu"/>
                    <w:ind w:left="1701" w:right="1701"/>
                  </w:pPr>
                  <w:r>
                    <w:t xml:space="preserve">raport końcowy </w:t>
                  </w:r>
                </w:p>
                <w:p w:rsidR="00832320" w:rsidRDefault="00832320" w:rsidP="0083413C">
                  <w:pPr>
                    <w:ind w:left="1701" w:right="1701"/>
                  </w:pPr>
                </w:p>
              </w:txbxContent>
            </v:textbox>
          </v:shape>
        </w:pict>
      </w:r>
      <w:r w:rsidRPr="00A0772B">
        <w:rPr>
          <w:noProof/>
          <w:sz w:val="44"/>
          <w:szCs w:val="44"/>
          <w:lang w:eastAsia="pl-PL"/>
        </w:rPr>
        <w:drawing>
          <wp:anchor distT="0" distB="0" distL="114300" distR="114300" simplePos="0" relativeHeight="251659776" behindDoc="0" locked="0" layoutInCell="1" allowOverlap="1">
            <wp:simplePos x="0" y="0"/>
            <wp:positionH relativeFrom="column">
              <wp:posOffset>3689350</wp:posOffset>
            </wp:positionH>
            <wp:positionV relativeFrom="paragraph">
              <wp:posOffset>6261100</wp:posOffset>
            </wp:positionV>
            <wp:extent cx="2482215" cy="1009650"/>
            <wp:effectExtent l="0" t="0" r="0" b="0"/>
            <wp:wrapSquare wrapText="bothSides"/>
            <wp:docPr id="795" name="Obraz 6" descr="C:\Users\Andrzej\Desktop\LogoCoffeyIDE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drzej\Desktop\LogoCoffeyIDEV3.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2215" cy="1009650"/>
                    </a:xfrm>
                    <a:prstGeom prst="rect">
                      <a:avLst/>
                    </a:prstGeom>
                    <a:noFill/>
                    <a:ln>
                      <a:noFill/>
                    </a:ln>
                  </pic:spPr>
                </pic:pic>
              </a:graphicData>
            </a:graphic>
          </wp:anchor>
        </w:drawing>
      </w:r>
      <w:r w:rsidRPr="00A0772B">
        <w:rPr>
          <w:noProof/>
          <w:sz w:val="44"/>
          <w:szCs w:val="44"/>
          <w:lang w:eastAsia="pl-PL"/>
        </w:rPr>
        <w:drawing>
          <wp:anchor distT="0" distB="0" distL="114300" distR="114300" simplePos="0" relativeHeight="251658752" behindDoc="0" locked="0" layoutInCell="1" allowOverlap="1">
            <wp:simplePos x="0" y="0"/>
            <wp:positionH relativeFrom="column">
              <wp:posOffset>1043305</wp:posOffset>
            </wp:positionH>
            <wp:positionV relativeFrom="paragraph">
              <wp:posOffset>6264910</wp:posOffset>
            </wp:positionV>
            <wp:extent cx="2386965" cy="1080770"/>
            <wp:effectExtent l="0" t="0" r="0" b="5080"/>
            <wp:wrapSquare wrapText="bothSides"/>
            <wp:docPr id="796" name="Obraz 17" descr="Opis: D:\Andrzej\My Dropbox\IBS_ORG\grafika\IBS\02_ogo ibs 1 poziom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Opis: D:\Andrzej\My Dropbox\IBS_ORG\grafika\IBS\02_ogo ibs 1 poziom RGB.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6965" cy="1080770"/>
                    </a:xfrm>
                    <a:prstGeom prst="rect">
                      <a:avLst/>
                    </a:prstGeom>
                    <a:noFill/>
                    <a:ln>
                      <a:noFill/>
                    </a:ln>
                  </pic:spPr>
                </pic:pic>
              </a:graphicData>
            </a:graphic>
          </wp:anchor>
        </w:drawing>
      </w:r>
      <w:r w:rsidR="001304EA" w:rsidRPr="000D274B">
        <w:rPr>
          <w:rFonts w:ascii="Arial" w:hAnsi="Arial" w:cs="Arial"/>
          <w:sz w:val="20"/>
          <w:szCs w:val="20"/>
        </w:rPr>
        <w:t xml:space="preserve">Załącznik nr </w:t>
      </w:r>
      <w:r w:rsidR="001304EA">
        <w:rPr>
          <w:rFonts w:ascii="Arial" w:hAnsi="Arial" w:cs="Arial"/>
          <w:sz w:val="20"/>
          <w:szCs w:val="20"/>
        </w:rPr>
        <w:t>1</w:t>
      </w:r>
      <w:r w:rsidR="001304EA" w:rsidRPr="000D274B">
        <w:rPr>
          <w:rFonts w:ascii="Arial" w:hAnsi="Arial" w:cs="Arial"/>
          <w:sz w:val="20"/>
          <w:szCs w:val="20"/>
        </w:rPr>
        <w:t xml:space="preserve"> do RPO WP 2014-2020</w:t>
      </w:r>
    </w:p>
    <w:p w:rsidR="00B01ADF" w:rsidRPr="008E662E" w:rsidRDefault="001B04AC" w:rsidP="00B01ADF">
      <w:pPr>
        <w:rPr>
          <w:lang w:eastAsia="pl-PL"/>
        </w:rPr>
      </w:pPr>
      <w:r>
        <w:rPr>
          <w:noProof/>
          <w:lang w:eastAsia="pl-PL"/>
        </w:rPr>
        <w:pict>
          <v:rect id="_x0000_s1250" style="position:absolute;left:0;text-align:left;margin-left:-17.75pt;margin-top:-6.5pt;width:157.05pt;height:859.05pt;z-index:-251589632;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" fillcolor="#1f497d" stroked="f" strokeweight="2pt">
            <v:path arrowok="t"/>
            <w10:wrap anchorx="page" anchory="page"/>
          </v:rect>
        </w:pict>
      </w:r>
    </w:p>
    <w:p w:rsidR="00A86436" w:rsidRPr="008E662E" w:rsidRDefault="001B04AC" w:rsidP="008307F4">
      <w:pPr>
        <w:rPr>
          <w:lang w:eastAsia="pl-PL"/>
        </w:rPr>
      </w:pPr>
      <w:r>
        <w:rPr>
          <w:noProof/>
          <w:lang w:eastAsia="pl-PL"/>
        </w:rPr>
        <w:pict>
          <v:shape id="_x0000_s1027" type="#_x0000_t202" style="position:absolute;left:0;text-align:left;margin-left:-9.4pt;margin-top:.6pt;width:507.2pt;height:231.15pt;z-index:251727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" fillcolor="#d9d9d9 [2894]" stroked="f" strokeweight=".5pt">
            <v:path arrowok="t"/>
            <v:textbox>
              <w:txbxContent>
                <w:p w:rsidR="00832320" w:rsidRPr="001D68EE" w:rsidRDefault="00832320" w:rsidP="00B01ADF">
                  <w:pPr>
                    <w:pStyle w:val="Tytu"/>
                    <w:spacing w:before="100" w:beforeAutospacing="1"/>
                    <w:ind w:left="1701" w:right="1701"/>
                    <w:jc w:val="center"/>
                    <w:rPr>
                      <w:sz w:val="42"/>
                      <w:szCs w:val="36"/>
                    </w:rPr>
                  </w:pPr>
                  <w:r>
                    <w:rPr>
                      <w:sz w:val="42"/>
                      <w:szCs w:val="36"/>
                    </w:rPr>
                    <w:t xml:space="preserve">Ewaluacja ex-ante </w:t>
                  </w:r>
                  <w:r>
                    <w:rPr>
                      <w:sz w:val="42"/>
                      <w:szCs w:val="36"/>
                    </w:rPr>
                    <w:br/>
                  </w:r>
                  <w:r w:rsidRPr="0083413C">
                    <w:rPr>
                      <w:b/>
                      <w:i/>
                      <w:sz w:val="42"/>
                      <w:szCs w:val="36"/>
                    </w:rPr>
                    <w:t>Regionalnego Programu Operacyjnego Województwa Podkarpackiego na lata 2014-2020</w:t>
                  </w:r>
                  <w:r w:rsidRPr="00FF6EEB">
                    <w:rPr>
                      <w:i/>
                      <w:sz w:val="36"/>
                      <w:szCs w:val="36"/>
                    </w:rPr>
                    <w:br/>
                  </w:r>
                </w:p>
                <w:p w:rsidR="00832320" w:rsidRPr="00102EA9" w:rsidRDefault="00832320" w:rsidP="00B01ADF">
                  <w:pPr>
                    <w:pStyle w:val="Podtytu"/>
                    <w:ind w:left="1701" w:right="1701"/>
                  </w:pPr>
                  <w:r w:rsidRPr="00102EA9">
                    <w:t xml:space="preserve">raport końcowy </w:t>
                  </w:r>
                </w:p>
                <w:p w:rsidR="00832320" w:rsidRDefault="00832320" w:rsidP="00B01ADF">
                  <w:pPr>
                    <w:ind w:left="1701" w:right="1701"/>
                  </w:pPr>
                </w:p>
              </w:txbxContent>
            </v:textbox>
          </v:shape>
        </w:pict>
      </w:r>
      <w:r>
        <w:rPr>
          <w:noProof/>
          <w:lang w:eastAsia="pl-PL"/>
        </w:rPr>
        <w:pict>
          <v:rect id="_x0000_s1249" style="position:absolute;left:0;text-align:left;margin-left:-17.75pt;margin-top:-6.5pt;width:157.05pt;height:859.05pt;z-index:-25159372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" fillcolor="#1f497d" stroked="f" strokeweight="2pt">
            <v:path arrowok="t"/>
            <w10:wrap anchorx="page" anchory="page"/>
          </v:rect>
        </w:pict>
      </w:r>
      <w:r>
        <w:rPr>
          <w:noProof/>
          <w:lang w:eastAsia="pl-PL"/>
        </w:rPr>
        <w:pict>
          <v:rect id="_x0000_s1248" style="position:absolute;left:0;text-align:left;margin-left:-17.75pt;margin-top:-6.5pt;width:157.05pt;height:859.05pt;z-index:-251618304;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" fillcolor="#1f497d" stroked="f" strokeweight="2pt">
            <v:path arrowok="t"/>
            <w10:wrap anchorx="page" anchory="page"/>
          </v:rect>
        </w:pict>
      </w:r>
    </w:p>
    <w:p w:rsidR="00A86436" w:rsidRPr="008E662E" w:rsidRDefault="001B04AC" w:rsidP="008307F4">
      <w:pPr>
        <w:rPr>
          <w:lang w:eastAsia="pl-PL"/>
        </w:rPr>
      </w:pPr>
      <w:r>
        <w:rPr>
          <w:noProof/>
          <w:lang w:eastAsia="pl-PL"/>
        </w:rPr>
        <w:pict>
          <v:shape id="_x0000_s1028" type="#_x0000_t202" style="position:absolute;left:0;text-align:left;margin-left:-9.4pt;margin-top:.6pt;width:507.2pt;height:200.7pt;z-index:251723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" fillcolor="#d9d9d9 [2894]" stroked="f" strokeweight=".5pt">
            <v:path arrowok="t"/>
            <v:textbox>
              <w:txbxContent>
                <w:p w:rsidR="00832320" w:rsidRPr="001D68EE" w:rsidRDefault="00832320" w:rsidP="0083413C">
                  <w:pPr>
                    <w:pStyle w:val="Tytu"/>
                    <w:spacing w:before="100" w:beforeAutospacing="1"/>
                    <w:ind w:left="1701" w:right="1701"/>
                    <w:jc w:val="center"/>
                    <w:rPr>
                      <w:sz w:val="42"/>
                      <w:szCs w:val="36"/>
                    </w:rPr>
                  </w:pPr>
                  <w:r>
                    <w:rPr>
                      <w:sz w:val="42"/>
                      <w:szCs w:val="36"/>
                    </w:rPr>
                    <w:t xml:space="preserve">Ewaluacja ex-ante </w:t>
                  </w:r>
                  <w:r>
                    <w:rPr>
                      <w:sz w:val="42"/>
                      <w:szCs w:val="36"/>
                    </w:rPr>
                    <w:br/>
                  </w:r>
                  <w:r w:rsidRPr="0083413C">
                    <w:rPr>
                      <w:b/>
                      <w:i/>
                      <w:sz w:val="42"/>
                      <w:szCs w:val="36"/>
                    </w:rPr>
                    <w:t>Regionalnego Programu Operacyjnego Województwa Podkarpackiego na lata 2014-2020</w:t>
                  </w:r>
                  <w:r w:rsidRPr="00FF6EEB">
                    <w:rPr>
                      <w:i/>
                      <w:sz w:val="36"/>
                      <w:szCs w:val="36"/>
                    </w:rPr>
                    <w:br/>
                  </w:r>
                </w:p>
                <w:p w:rsidR="00832320" w:rsidRPr="00102EA9" w:rsidRDefault="00832320" w:rsidP="0083413C">
                  <w:pPr>
                    <w:pStyle w:val="Podtytu"/>
                    <w:ind w:left="1701" w:right="1701"/>
                  </w:pPr>
                  <w:r w:rsidRPr="00102EA9">
                    <w:t xml:space="preserve">raport końcowy </w:t>
                  </w:r>
                </w:p>
                <w:p w:rsidR="00832320" w:rsidRDefault="00832320" w:rsidP="0083413C">
                  <w:pPr>
                    <w:ind w:left="1701" w:right="1701"/>
                  </w:pPr>
                </w:p>
              </w:txbxContent>
            </v:textbox>
          </v:shape>
        </w:pict>
      </w:r>
      <w:r>
        <w:rPr>
          <w:noProof/>
          <w:lang w:eastAsia="pl-PL"/>
        </w:rPr>
        <w:pict>
          <v:rect id="_x0000_s1247" style="position:absolute;left:0;text-align:left;margin-left:-17.75pt;margin-top:-6.5pt;width:157.05pt;height:859.05pt;z-index:-25162444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" fillcolor="#1f497d" stroked="f" strokeweight="2pt">
            <v:path arrowok="t"/>
            <w10:wrap anchorx="page" anchory="page"/>
          </v:rect>
        </w:pict>
      </w:r>
    </w:p>
    <w:p w:rsidR="00A86436" w:rsidRPr="008E662E" w:rsidRDefault="001B04AC" w:rsidP="008307F4">
      <w:pPr>
        <w:rPr>
          <w:lang w:eastAsia="pl-PL"/>
        </w:rPr>
      </w:pPr>
      <w:r>
        <w:rPr>
          <w:noProof/>
          <w:lang w:eastAsia="pl-PL"/>
        </w:rPr>
        <w:pict>
          <v:shape id="_x0000_s1029" type="#_x0000_t202" style="position:absolute;left:0;text-align:left;margin-left:-9.4pt;margin-top:.65pt;width:507.2pt;height:207.2pt;z-index:251693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" fillcolor="#d9d9d9 [2894]" stroked="f" strokeweight=".5pt">
            <v:path arrowok="t"/>
            <v:textbox>
              <w:txbxContent>
                <w:p w:rsidR="00832320" w:rsidRPr="001D68EE" w:rsidRDefault="00832320" w:rsidP="0083413C">
                  <w:pPr>
                    <w:pStyle w:val="Tytu"/>
                    <w:spacing w:before="100" w:beforeAutospacing="1"/>
                    <w:ind w:left="1701" w:right="1701"/>
                    <w:jc w:val="center"/>
                    <w:rPr>
                      <w:sz w:val="42"/>
                      <w:szCs w:val="36"/>
                    </w:rPr>
                  </w:pPr>
                  <w:r>
                    <w:rPr>
                      <w:sz w:val="42"/>
                      <w:szCs w:val="36"/>
                    </w:rPr>
                    <w:t xml:space="preserve">Ewaluacja ex-ante </w:t>
                  </w:r>
                  <w:r>
                    <w:rPr>
                      <w:sz w:val="42"/>
                      <w:szCs w:val="36"/>
                    </w:rPr>
                    <w:br/>
                  </w:r>
                  <w:r w:rsidRPr="0083413C">
                    <w:rPr>
                      <w:b/>
                      <w:i/>
                      <w:sz w:val="42"/>
                      <w:szCs w:val="36"/>
                    </w:rPr>
                    <w:t>Regionalnego Programu Operacyjnego Województwa Podkarpackiego na lata 2014-2020</w:t>
                  </w:r>
                  <w:r w:rsidRPr="00FF6EEB">
                    <w:rPr>
                      <w:i/>
                      <w:sz w:val="36"/>
                      <w:szCs w:val="36"/>
                    </w:rPr>
                    <w:br/>
                  </w:r>
                </w:p>
                <w:p w:rsidR="00832320" w:rsidRPr="00102EA9" w:rsidRDefault="00832320" w:rsidP="0083413C">
                  <w:pPr>
                    <w:pStyle w:val="Podtytu"/>
                    <w:ind w:left="1701" w:right="1701"/>
                  </w:pPr>
                  <w:r w:rsidRPr="00102EA9">
                    <w:t xml:space="preserve">raport końcowy </w:t>
                  </w:r>
                </w:p>
                <w:p w:rsidR="00832320" w:rsidRDefault="00832320" w:rsidP="0083413C">
                  <w:pPr>
                    <w:ind w:left="1701" w:right="1701"/>
                  </w:pPr>
                </w:p>
              </w:txbxContent>
            </v:textbox>
          </v:shape>
        </w:pict>
      </w:r>
      <w:r>
        <w:rPr>
          <w:noProof/>
          <w:lang w:eastAsia="pl-PL"/>
        </w:rPr>
        <w:pict>
          <v:rect id="Prostokąt 52" o:spid="_x0000_s1246" style="position:absolute;left:0;text-align:left;margin-left:-17.75pt;margin-top:-6.5pt;width:157.05pt;height:859.05pt;z-index:-251657216;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" fillcolor="#1f497d" stroked="f" strokeweight="2pt">
            <v:path arrowok="t"/>
            <w10:wrap anchorx="page" anchory="page"/>
          </v:rect>
        </w:pict>
      </w:r>
    </w:p>
    <w:tbl>
      <w:tblPr>
        <w:tblpPr w:leftFromText="141" w:rightFromText="141" w:vertAnchor="text" w:horzAnchor="page" w:tblpX="4978" w:tblpY="199"/>
        <w:tblOverlap w:val="never"/>
        <w:tblW w:w="0" w:type="auto"/>
        <w:tblLook w:val="04A0"/>
      </w:tblPr>
      <w:tblGrid>
        <w:gridCol w:w="6298"/>
      </w:tblGrid>
      <w:tr w:rsidR="00A021C9" w:rsidRPr="00CF3607" w:rsidTr="00A021C9">
        <w:trPr>
          <w:trHeight w:val="6592"/>
        </w:trPr>
        <w:tc>
          <w:tcPr>
            <w:tcW w:w="6298" w:type="dxa"/>
            <w:shd w:val="clear" w:color="auto" w:fill="auto"/>
            <w:vAlign w:val="center"/>
          </w:tcPr>
          <w:p w:rsidR="00A021C9" w:rsidRPr="00CF3607" w:rsidRDefault="00A021C9" w:rsidP="00A021C9">
            <w:pPr>
              <w:spacing w:after="360" w:line="240" w:lineRule="auto"/>
              <w:rPr>
                <w:sz w:val="44"/>
                <w:szCs w:val="44"/>
              </w:rPr>
            </w:pPr>
          </w:p>
        </w:tc>
      </w:tr>
    </w:tbl>
    <w:p w:rsidR="00A86436" w:rsidRPr="00F36A83" w:rsidRDefault="001B04AC" w:rsidP="00A86436">
      <w:pPr>
        <w:rPr>
          <w:sz w:val="44"/>
          <w:szCs w:val="44"/>
        </w:rPr>
        <w:sectPr w:rsidR="00A86436" w:rsidRPr="00F36A83" w:rsidSect="00607AE2">
          <w:headerReference w:type="default" r:id="rId16"/>
          <w:pgSz w:w="11906" w:h="16838"/>
          <w:pgMar w:top="1985" w:right="1418" w:bottom="1418" w:left="1418" w:header="709" w:footer="709" w:gutter="0"/>
          <w:pgNumType w:start="88"/>
          <w:cols w:space="708"/>
          <w:titlePg/>
          <w:docGrid w:linePitch="360"/>
        </w:sectPr>
      </w:pPr>
      <w:r w:rsidRPr="001B04AC">
        <w:rPr>
          <w:noProof/>
          <w:lang w:eastAsia="pl-PL"/>
        </w:rPr>
        <w:pict>
          <v:shape id="_x0000_s1030" type="#_x0000_t202" style="position:absolute;left:0;text-align:left;margin-left:-9.4pt;margin-top:.6pt;width:507.2pt;height:139.85pt;z-index:251660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" fillcolor="#d9d9d9 [2894]" stroked="f" strokeweight=".5pt">
            <v:path arrowok="t"/>
            <v:textbox>
              <w:txbxContent>
                <w:p w:rsidR="00832320" w:rsidRPr="001D68EE" w:rsidRDefault="00832320" w:rsidP="0083413C">
                  <w:pPr>
                    <w:pStyle w:val="Tytu"/>
                    <w:spacing w:before="100" w:beforeAutospacing="1"/>
                    <w:ind w:left="1701" w:right="1701"/>
                    <w:jc w:val="center"/>
                    <w:rPr>
                      <w:sz w:val="42"/>
                      <w:szCs w:val="36"/>
                    </w:rPr>
                  </w:pPr>
                  <w:r>
                    <w:rPr>
                      <w:sz w:val="42"/>
                      <w:szCs w:val="36"/>
                    </w:rPr>
                    <w:t xml:space="preserve">Ewaluacja ex-ante </w:t>
                  </w:r>
                  <w:r>
                    <w:rPr>
                      <w:sz w:val="42"/>
                      <w:szCs w:val="36"/>
                    </w:rPr>
                    <w:br/>
                  </w:r>
                  <w:r w:rsidRPr="0083413C">
                    <w:rPr>
                      <w:b/>
                      <w:i/>
                      <w:sz w:val="42"/>
                      <w:szCs w:val="36"/>
                    </w:rPr>
                    <w:t>Regionalnego Programu Operacyjnego Województwa Podkarpackiego na lata 2014-2020</w:t>
                  </w:r>
                  <w:r w:rsidRPr="00FF6EEB">
                    <w:rPr>
                      <w:i/>
                      <w:sz w:val="36"/>
                      <w:szCs w:val="36"/>
                    </w:rPr>
                    <w:br/>
                  </w:r>
                </w:p>
                <w:p w:rsidR="00832320" w:rsidRPr="00102EA9" w:rsidRDefault="00832320" w:rsidP="0083413C">
                  <w:pPr>
                    <w:pStyle w:val="Podtytu"/>
                    <w:ind w:left="1701" w:right="1701"/>
                  </w:pPr>
                  <w:r w:rsidRPr="00102EA9">
                    <w:t xml:space="preserve">raport końcowy </w:t>
                  </w:r>
                  <w:r>
                    <w:t>(etap I)</w:t>
                  </w:r>
                </w:p>
                <w:p w:rsidR="00832320" w:rsidRDefault="00832320" w:rsidP="0083413C">
                  <w:pPr>
                    <w:ind w:left="1701" w:right="1701"/>
                  </w:pPr>
                </w:p>
              </w:txbxContent>
            </v:textbox>
          </v:shape>
        </w:pict>
      </w:r>
    </w:p>
    <w:tbl>
      <w:tblPr>
        <w:tblpPr w:leftFromText="141" w:rightFromText="141" w:vertAnchor="text" w:horzAnchor="margin" w:tblpY="4017"/>
        <w:tblW w:w="9322" w:type="dxa"/>
        <w:tblLook w:val="04A0"/>
      </w:tblPr>
      <w:tblGrid>
        <w:gridCol w:w="4644"/>
        <w:gridCol w:w="4678"/>
      </w:tblGrid>
      <w:tr w:rsidR="00AF0B7D" w:rsidTr="007A38A5">
        <w:trPr>
          <w:trHeight w:val="2778"/>
        </w:trPr>
        <w:tc>
          <w:tcPr>
            <w:tcW w:w="4644" w:type="dxa"/>
            <w:vAlign w:val="center"/>
          </w:tcPr>
          <w:p w:rsidR="00AF0B7D" w:rsidRPr="008C602C" w:rsidRDefault="00AF0B7D" w:rsidP="00AF0B7D">
            <w:pPr>
              <w:spacing w:after="80"/>
              <w:rPr>
                <w:b/>
                <w:sz w:val="20"/>
                <w:szCs w:val="20"/>
              </w:rPr>
            </w:pPr>
            <w:r>
              <w:rPr>
                <w:b/>
                <w:sz w:val="20"/>
                <w:szCs w:val="20"/>
              </w:rPr>
              <w:lastRenderedPageBreak/>
              <w:t>I</w:t>
            </w:r>
            <w:r w:rsidRPr="008C602C">
              <w:rPr>
                <w:b/>
                <w:sz w:val="20"/>
                <w:szCs w:val="20"/>
              </w:rPr>
              <w:t>nstytut Badań Strukturalnych</w:t>
            </w:r>
          </w:p>
          <w:p w:rsidR="00AF0B7D" w:rsidRPr="008C602C" w:rsidRDefault="00AF0B7D" w:rsidP="00AF0B7D">
            <w:pPr>
              <w:spacing w:after="80"/>
              <w:rPr>
                <w:sz w:val="20"/>
                <w:szCs w:val="20"/>
              </w:rPr>
            </w:pPr>
            <w:r w:rsidRPr="008C602C">
              <w:rPr>
                <w:sz w:val="20"/>
                <w:szCs w:val="20"/>
              </w:rPr>
              <w:t xml:space="preserve">ul. Rejtana 15 lok. </w:t>
            </w:r>
            <w:r>
              <w:rPr>
                <w:sz w:val="20"/>
                <w:szCs w:val="20"/>
              </w:rPr>
              <w:t>28</w:t>
            </w:r>
          </w:p>
          <w:p w:rsidR="00AF0B7D" w:rsidRPr="008C602C" w:rsidRDefault="00AF0B7D" w:rsidP="00AF0B7D">
            <w:pPr>
              <w:spacing w:after="80"/>
              <w:rPr>
                <w:sz w:val="20"/>
                <w:szCs w:val="20"/>
              </w:rPr>
            </w:pPr>
            <w:r w:rsidRPr="008C602C">
              <w:rPr>
                <w:rFonts w:cs="Arial"/>
                <w:sz w:val="20"/>
                <w:szCs w:val="20"/>
              </w:rPr>
              <w:t xml:space="preserve">02-516 </w:t>
            </w:r>
            <w:r w:rsidRPr="008C602C">
              <w:rPr>
                <w:sz w:val="20"/>
                <w:szCs w:val="20"/>
              </w:rPr>
              <w:t>Warszawa, Polska</w:t>
            </w:r>
          </w:p>
          <w:p w:rsidR="00AF0B7D" w:rsidRPr="00573FCD" w:rsidRDefault="00AF0B7D" w:rsidP="00AF0B7D">
            <w:pPr>
              <w:spacing w:after="80"/>
              <w:rPr>
                <w:sz w:val="20"/>
                <w:szCs w:val="20"/>
              </w:rPr>
            </w:pPr>
            <w:r w:rsidRPr="00573FCD">
              <w:rPr>
                <w:sz w:val="20"/>
                <w:szCs w:val="20"/>
              </w:rPr>
              <w:t xml:space="preserve">e-mail: </w:t>
            </w:r>
            <w:hyperlink r:id="rId17" w:history="1">
              <w:r w:rsidRPr="00573FCD">
                <w:rPr>
                  <w:rStyle w:val="Hipercze"/>
                  <w:sz w:val="20"/>
                  <w:szCs w:val="20"/>
                </w:rPr>
                <w:t>ibs@ibs.org.pl</w:t>
              </w:r>
            </w:hyperlink>
          </w:p>
          <w:p w:rsidR="00AF0B7D" w:rsidRPr="009967DD" w:rsidRDefault="001B04AC" w:rsidP="00AF0B7D">
            <w:pPr>
              <w:spacing w:after="80"/>
              <w:rPr>
                <w:sz w:val="20"/>
                <w:szCs w:val="20"/>
              </w:rPr>
            </w:pPr>
            <w:hyperlink r:id="rId18" w:history="1">
              <w:r w:rsidR="00AF0B7D" w:rsidRPr="009967DD">
                <w:rPr>
                  <w:rStyle w:val="Hipercze"/>
                  <w:sz w:val="20"/>
                  <w:szCs w:val="20"/>
                </w:rPr>
                <w:t>www.ibs.org.pl</w:t>
              </w:r>
            </w:hyperlink>
          </w:p>
          <w:p w:rsidR="00AF0B7D" w:rsidRDefault="00AF0B7D" w:rsidP="00AF0B7D">
            <w:pPr>
              <w:spacing w:before="360" w:after="360"/>
            </w:pPr>
            <w:r w:rsidRPr="009967DD">
              <w:rPr>
                <w:sz w:val="20"/>
                <w:szCs w:val="20"/>
              </w:rPr>
              <w:t xml:space="preserve">T: + 48 22 629 33 82; F. </w:t>
            </w:r>
            <w:r w:rsidRPr="008C602C">
              <w:rPr>
                <w:sz w:val="20"/>
                <w:szCs w:val="20"/>
              </w:rPr>
              <w:t>+48 22 395 50</w:t>
            </w:r>
          </w:p>
        </w:tc>
        <w:tc>
          <w:tcPr>
            <w:tcW w:w="4678" w:type="dxa"/>
            <w:vAlign w:val="center"/>
          </w:tcPr>
          <w:p w:rsidR="00AF0B7D" w:rsidRDefault="00583A83" w:rsidP="00A3411E">
            <w:pPr>
              <w:spacing w:before="360" w:after="360"/>
            </w:pPr>
            <w:r w:rsidRPr="00A0772B">
              <w:rPr>
                <w:noProof/>
                <w:lang w:eastAsia="pl-PL"/>
              </w:rPr>
              <w:drawing>
                <wp:inline distT="0" distB="0" distL="0" distR="0">
                  <wp:extent cx="2388705" cy="1080000"/>
                  <wp:effectExtent l="0" t="0" r="0" b="6350"/>
                  <wp:docPr id="797" name="Obraz 10" descr="D:\Andrzej\My Dropbox\IBS_ORG\grafika\IBS\02_ogo ibs 1 poziom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D:\Andrzej\My Dropbox\IBS_ORG\grafika\IBS\02_ogo ibs 1 poziom RGB.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8705" cy="1080000"/>
                          </a:xfrm>
                          <a:prstGeom prst="rect">
                            <a:avLst/>
                          </a:prstGeom>
                          <a:noFill/>
                          <a:ln>
                            <a:noFill/>
                          </a:ln>
                        </pic:spPr>
                      </pic:pic>
                    </a:graphicData>
                  </a:graphic>
                </wp:inline>
              </w:drawing>
            </w:r>
          </w:p>
        </w:tc>
      </w:tr>
      <w:tr w:rsidR="00AF0B7D" w:rsidTr="007A38A5">
        <w:trPr>
          <w:trHeight w:val="2778"/>
        </w:trPr>
        <w:tc>
          <w:tcPr>
            <w:tcW w:w="4644" w:type="dxa"/>
            <w:vAlign w:val="center"/>
          </w:tcPr>
          <w:p w:rsidR="00AF0B7D" w:rsidRPr="00AF0B7D" w:rsidRDefault="00AF0B7D" w:rsidP="00AF0B7D">
            <w:pPr>
              <w:spacing w:after="80"/>
              <w:rPr>
                <w:b/>
                <w:sz w:val="20"/>
                <w:szCs w:val="20"/>
              </w:rPr>
            </w:pPr>
            <w:proofErr w:type="spellStart"/>
            <w:r w:rsidRPr="00AF0B7D">
              <w:rPr>
                <w:b/>
                <w:sz w:val="20"/>
                <w:szCs w:val="20"/>
              </w:rPr>
              <w:t>Reytech</w:t>
            </w:r>
            <w:proofErr w:type="spellEnd"/>
            <w:r w:rsidRPr="00AF0B7D">
              <w:rPr>
                <w:b/>
                <w:sz w:val="20"/>
                <w:szCs w:val="20"/>
              </w:rPr>
              <w:t xml:space="preserve"> Sp. z o.o.</w:t>
            </w:r>
          </w:p>
          <w:p w:rsidR="00AF0B7D" w:rsidRPr="00AF0B7D" w:rsidRDefault="00AF0B7D" w:rsidP="00AF0B7D">
            <w:pPr>
              <w:spacing w:after="80"/>
              <w:rPr>
                <w:sz w:val="20"/>
                <w:szCs w:val="20"/>
              </w:rPr>
            </w:pPr>
            <w:r w:rsidRPr="00AF0B7D">
              <w:rPr>
                <w:sz w:val="20"/>
                <w:szCs w:val="20"/>
              </w:rPr>
              <w:t>ul. Rejtana 15 lok. 25</w:t>
            </w:r>
          </w:p>
          <w:p w:rsidR="00AF0B7D" w:rsidRPr="00AF0B7D" w:rsidRDefault="00AF0B7D" w:rsidP="00AF0B7D">
            <w:pPr>
              <w:spacing w:after="80"/>
              <w:rPr>
                <w:sz w:val="20"/>
                <w:szCs w:val="20"/>
              </w:rPr>
            </w:pPr>
            <w:r w:rsidRPr="00AF0B7D">
              <w:rPr>
                <w:sz w:val="20"/>
                <w:szCs w:val="20"/>
              </w:rPr>
              <w:t>02-516 Warszawa, Polska</w:t>
            </w:r>
          </w:p>
          <w:p w:rsidR="00AF0B7D" w:rsidRPr="00AF0B7D" w:rsidRDefault="00AF0B7D" w:rsidP="00AF0B7D">
            <w:pPr>
              <w:spacing w:after="80"/>
              <w:rPr>
                <w:sz w:val="20"/>
                <w:szCs w:val="20"/>
              </w:rPr>
            </w:pPr>
            <w:r w:rsidRPr="00AF0B7D">
              <w:rPr>
                <w:sz w:val="20"/>
                <w:szCs w:val="20"/>
              </w:rPr>
              <w:t>e-mail: reytech@reytech.pl</w:t>
            </w:r>
          </w:p>
          <w:p w:rsidR="00AF0B7D" w:rsidRDefault="00AF0B7D" w:rsidP="00AF0B7D">
            <w:pPr>
              <w:spacing w:after="80"/>
              <w:rPr>
                <w:b/>
                <w:sz w:val="20"/>
                <w:szCs w:val="20"/>
              </w:rPr>
            </w:pPr>
            <w:r w:rsidRPr="00AF0B7D">
              <w:rPr>
                <w:sz w:val="20"/>
                <w:szCs w:val="20"/>
              </w:rPr>
              <w:t>www.reytech.pl</w:t>
            </w:r>
          </w:p>
        </w:tc>
        <w:tc>
          <w:tcPr>
            <w:tcW w:w="4678" w:type="dxa"/>
            <w:vAlign w:val="center"/>
          </w:tcPr>
          <w:p w:rsidR="00AF0B7D" w:rsidRDefault="00583A83" w:rsidP="00A3411E">
            <w:pPr>
              <w:spacing w:before="360" w:after="360"/>
              <w:rPr>
                <w:noProof/>
                <w:sz w:val="44"/>
                <w:szCs w:val="44"/>
                <w:lang w:eastAsia="pl-PL"/>
              </w:rPr>
            </w:pPr>
            <w:r w:rsidRPr="00A0772B">
              <w:rPr>
                <w:noProof/>
                <w:lang w:eastAsia="pl-PL"/>
              </w:rPr>
              <w:drawing>
                <wp:inline distT="0" distB="0" distL="0" distR="0">
                  <wp:extent cx="2286000" cy="701040"/>
                  <wp:effectExtent l="0" t="0" r="0" b="3810"/>
                  <wp:docPr id="798"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0" cy="701040"/>
                          </a:xfrm>
                          <a:prstGeom prst="rect">
                            <a:avLst/>
                          </a:prstGeom>
                          <a:noFill/>
                        </pic:spPr>
                      </pic:pic>
                    </a:graphicData>
                  </a:graphic>
                </wp:inline>
              </w:drawing>
            </w:r>
          </w:p>
        </w:tc>
      </w:tr>
      <w:tr w:rsidR="00AF0B7D" w:rsidTr="007A38A5">
        <w:trPr>
          <w:trHeight w:val="2778"/>
        </w:trPr>
        <w:tc>
          <w:tcPr>
            <w:tcW w:w="4644" w:type="dxa"/>
            <w:vAlign w:val="center"/>
          </w:tcPr>
          <w:p w:rsidR="00AF0B7D" w:rsidRPr="003D6740" w:rsidRDefault="00AF0B7D" w:rsidP="00AF0B7D">
            <w:pPr>
              <w:spacing w:after="80"/>
              <w:rPr>
                <w:b/>
                <w:sz w:val="20"/>
                <w:szCs w:val="20"/>
              </w:rPr>
            </w:pPr>
            <w:proofErr w:type="spellStart"/>
            <w:r w:rsidRPr="003D6740">
              <w:rPr>
                <w:b/>
                <w:sz w:val="20"/>
                <w:szCs w:val="20"/>
              </w:rPr>
              <w:t>Coffey</w:t>
            </w:r>
            <w:proofErr w:type="spellEnd"/>
            <w:r w:rsidRPr="003D6740">
              <w:rPr>
                <w:b/>
                <w:sz w:val="20"/>
                <w:szCs w:val="20"/>
              </w:rPr>
              <w:t xml:space="preserve"> Sp. z o.o.</w:t>
            </w:r>
          </w:p>
          <w:p w:rsidR="00AF0B7D" w:rsidRPr="003D6740" w:rsidRDefault="00AF0B7D" w:rsidP="00AF0B7D">
            <w:pPr>
              <w:spacing w:after="80"/>
              <w:rPr>
                <w:sz w:val="20"/>
                <w:szCs w:val="20"/>
              </w:rPr>
            </w:pPr>
            <w:r w:rsidRPr="003D6740">
              <w:rPr>
                <w:sz w:val="20"/>
                <w:szCs w:val="20"/>
              </w:rPr>
              <w:t xml:space="preserve">ul. Krucza 16/22, </w:t>
            </w:r>
          </w:p>
          <w:p w:rsidR="00AF0B7D" w:rsidRPr="003D6740" w:rsidRDefault="00AF0B7D" w:rsidP="00AF0B7D">
            <w:pPr>
              <w:spacing w:after="80"/>
              <w:rPr>
                <w:sz w:val="20"/>
                <w:szCs w:val="20"/>
              </w:rPr>
            </w:pPr>
            <w:r w:rsidRPr="003D6740">
              <w:rPr>
                <w:sz w:val="20"/>
                <w:szCs w:val="20"/>
              </w:rPr>
              <w:t>00-526 Warszawa</w:t>
            </w:r>
          </w:p>
          <w:p w:rsidR="00AF0B7D" w:rsidRDefault="00AF0B7D" w:rsidP="00AF0B7D">
            <w:pPr>
              <w:spacing w:after="80"/>
              <w:rPr>
                <w:b/>
                <w:sz w:val="20"/>
                <w:szCs w:val="20"/>
              </w:rPr>
            </w:pPr>
            <w:r w:rsidRPr="003D6740">
              <w:rPr>
                <w:sz w:val="20"/>
                <w:szCs w:val="20"/>
              </w:rPr>
              <w:t>T +48 22 578 2280 F +48 22 578 2281</w:t>
            </w:r>
          </w:p>
        </w:tc>
        <w:tc>
          <w:tcPr>
            <w:tcW w:w="4678" w:type="dxa"/>
            <w:vAlign w:val="center"/>
          </w:tcPr>
          <w:p w:rsidR="00AF0B7D" w:rsidRDefault="00583A83" w:rsidP="00A3411E">
            <w:pPr>
              <w:spacing w:before="360" w:after="360"/>
              <w:rPr>
                <w:noProof/>
                <w:sz w:val="44"/>
                <w:szCs w:val="44"/>
                <w:lang w:eastAsia="pl-PL"/>
              </w:rPr>
            </w:pPr>
            <w:r w:rsidRPr="00A0772B">
              <w:rPr>
                <w:noProof/>
                <w:lang w:eastAsia="pl-PL"/>
              </w:rPr>
              <w:drawing>
                <wp:inline distT="0" distB="0" distL="0" distR="0">
                  <wp:extent cx="2482215" cy="1009650"/>
                  <wp:effectExtent l="0" t="0" r="0" b="0"/>
                  <wp:docPr id="799" name="Obraz 8" descr="C:\Users\Andrzej\Desktop\LogoCoffeyIDE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drzej\Desktop\LogoCoffeyIDEV3.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2215" cy="1009650"/>
                          </a:xfrm>
                          <a:prstGeom prst="rect">
                            <a:avLst/>
                          </a:prstGeom>
                          <a:noFill/>
                          <a:ln>
                            <a:noFill/>
                          </a:ln>
                        </pic:spPr>
                      </pic:pic>
                    </a:graphicData>
                  </a:graphic>
                </wp:inline>
              </w:drawing>
            </w:r>
          </w:p>
        </w:tc>
      </w:tr>
    </w:tbl>
    <w:p w:rsidR="00403226" w:rsidRDefault="00403226"/>
    <w:p w:rsidR="00403226" w:rsidRDefault="00403226" w:rsidP="00F87D8F">
      <w:pPr>
        <w:spacing w:before="6360"/>
      </w:pPr>
    </w:p>
    <w:p w:rsidR="00733F12" w:rsidRDefault="00733F12" w:rsidP="008B0D93">
      <w:pPr>
        <w:spacing w:after="0"/>
        <w:rPr>
          <w:b/>
          <w:sz w:val="44"/>
        </w:rPr>
      </w:pPr>
      <w:r w:rsidRPr="00733F12">
        <w:rPr>
          <w:b/>
          <w:sz w:val="44"/>
        </w:rPr>
        <w:t>Spis treści</w:t>
      </w:r>
    </w:p>
    <w:p w:rsidR="00F77052" w:rsidRDefault="001B04AC" w:rsidP="00F77052">
      <w:pPr>
        <w:pStyle w:val="Spistreci1"/>
        <w:tabs>
          <w:tab w:val="right" w:leader="dot" w:pos="9060"/>
        </w:tabs>
        <w:spacing w:after="0"/>
        <w:rPr>
          <w:rFonts w:eastAsiaTheme="minorEastAsia"/>
          <w:noProof/>
          <w:lang w:eastAsia="pl-PL"/>
        </w:rPr>
      </w:pPr>
      <w:r>
        <w:fldChar w:fldCharType="begin"/>
      </w:r>
      <w:r w:rsidR="00733F12">
        <w:instrText xml:space="preserve"> TOC \o "1-2" \h \z \u </w:instrText>
      </w:r>
      <w:r>
        <w:fldChar w:fldCharType="separate"/>
      </w:r>
      <w:hyperlink w:anchor="_Toc384914394" w:history="1">
        <w:r w:rsidR="00F77052" w:rsidRPr="0011382C">
          <w:rPr>
            <w:rStyle w:val="Hipercze"/>
            <w:noProof/>
          </w:rPr>
          <w:t>Streszczenie raportu</w:t>
        </w:r>
        <w:r w:rsidR="00F77052">
          <w:rPr>
            <w:noProof/>
            <w:webHidden/>
          </w:rPr>
          <w:tab/>
        </w:r>
        <w:r>
          <w:rPr>
            <w:noProof/>
            <w:webHidden/>
          </w:rPr>
          <w:fldChar w:fldCharType="begin"/>
        </w:r>
        <w:r w:rsidR="00F77052">
          <w:rPr>
            <w:noProof/>
            <w:webHidden/>
          </w:rPr>
          <w:instrText xml:space="preserve"> PAGEREF _Toc384914394 \h </w:instrText>
        </w:r>
        <w:r>
          <w:rPr>
            <w:noProof/>
            <w:webHidden/>
          </w:rPr>
        </w:r>
        <w:r>
          <w:rPr>
            <w:noProof/>
            <w:webHidden/>
          </w:rPr>
          <w:fldChar w:fldCharType="separate"/>
        </w:r>
        <w:r w:rsidR="00832320">
          <w:rPr>
            <w:noProof/>
            <w:webHidden/>
          </w:rPr>
          <w:t>4</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395" w:history="1">
        <w:r w:rsidR="00F77052" w:rsidRPr="0011382C">
          <w:rPr>
            <w:rStyle w:val="Hipercze"/>
            <w:noProof/>
          </w:rPr>
          <w:t>1</w:t>
        </w:r>
        <w:r w:rsidR="00F77052">
          <w:rPr>
            <w:rFonts w:eastAsiaTheme="minorEastAsia"/>
            <w:noProof/>
            <w:lang w:eastAsia="pl-PL"/>
          </w:rPr>
          <w:tab/>
        </w:r>
        <w:r w:rsidR="00F77052" w:rsidRPr="0011382C">
          <w:rPr>
            <w:rStyle w:val="Hipercze"/>
            <w:noProof/>
          </w:rPr>
          <w:t>Wprowadzenie</w:t>
        </w:r>
        <w:r w:rsidR="00F77052">
          <w:rPr>
            <w:noProof/>
            <w:webHidden/>
          </w:rPr>
          <w:tab/>
        </w:r>
        <w:r>
          <w:rPr>
            <w:noProof/>
            <w:webHidden/>
          </w:rPr>
          <w:fldChar w:fldCharType="begin"/>
        </w:r>
        <w:r w:rsidR="00F77052">
          <w:rPr>
            <w:noProof/>
            <w:webHidden/>
          </w:rPr>
          <w:instrText xml:space="preserve"> PAGEREF _Toc384914395 \h </w:instrText>
        </w:r>
        <w:r>
          <w:rPr>
            <w:noProof/>
            <w:webHidden/>
          </w:rPr>
        </w:r>
        <w:r>
          <w:rPr>
            <w:noProof/>
            <w:webHidden/>
          </w:rPr>
          <w:fldChar w:fldCharType="separate"/>
        </w:r>
        <w:r w:rsidR="00832320">
          <w:rPr>
            <w:noProof/>
            <w:webHidden/>
          </w:rPr>
          <w:t>10</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396" w:history="1">
        <w:r w:rsidR="00F77052" w:rsidRPr="0011382C">
          <w:rPr>
            <w:rStyle w:val="Hipercze"/>
            <w:noProof/>
          </w:rPr>
          <w:t>2</w:t>
        </w:r>
        <w:r w:rsidR="00F77052">
          <w:rPr>
            <w:rFonts w:eastAsiaTheme="minorEastAsia"/>
            <w:noProof/>
            <w:lang w:eastAsia="pl-PL"/>
          </w:rPr>
          <w:tab/>
        </w:r>
        <w:r w:rsidR="00F77052" w:rsidRPr="0011382C">
          <w:rPr>
            <w:rStyle w:val="Hipercze"/>
            <w:noProof/>
          </w:rPr>
          <w:t>Zakres i metodologia badania</w:t>
        </w:r>
        <w:r w:rsidR="00F77052">
          <w:rPr>
            <w:noProof/>
            <w:webHidden/>
          </w:rPr>
          <w:tab/>
        </w:r>
        <w:r>
          <w:rPr>
            <w:noProof/>
            <w:webHidden/>
          </w:rPr>
          <w:fldChar w:fldCharType="begin"/>
        </w:r>
        <w:r w:rsidR="00F77052">
          <w:rPr>
            <w:noProof/>
            <w:webHidden/>
          </w:rPr>
          <w:instrText xml:space="preserve"> PAGEREF _Toc384914396 \h </w:instrText>
        </w:r>
        <w:r>
          <w:rPr>
            <w:noProof/>
            <w:webHidden/>
          </w:rPr>
        </w:r>
        <w:r>
          <w:rPr>
            <w:noProof/>
            <w:webHidden/>
          </w:rPr>
          <w:fldChar w:fldCharType="separate"/>
        </w:r>
        <w:r w:rsidR="00832320">
          <w:rPr>
            <w:noProof/>
            <w:webHidden/>
          </w:rPr>
          <w:t>12</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397" w:history="1">
        <w:r w:rsidR="00F77052" w:rsidRPr="0011382C">
          <w:rPr>
            <w:rStyle w:val="Hipercze"/>
            <w:noProof/>
          </w:rPr>
          <w:t>3</w:t>
        </w:r>
        <w:r w:rsidR="00F77052">
          <w:rPr>
            <w:rFonts w:eastAsiaTheme="minorEastAsia"/>
            <w:noProof/>
            <w:lang w:eastAsia="pl-PL"/>
          </w:rPr>
          <w:tab/>
        </w:r>
        <w:r w:rsidR="00F77052" w:rsidRPr="0011382C">
          <w:rPr>
            <w:rStyle w:val="Hipercze"/>
            <w:noProof/>
          </w:rPr>
          <w:t>Ocena interwencji RPO WP</w:t>
        </w:r>
        <w:r w:rsidR="00F77052">
          <w:rPr>
            <w:noProof/>
            <w:webHidden/>
          </w:rPr>
          <w:tab/>
        </w:r>
        <w:r>
          <w:rPr>
            <w:noProof/>
            <w:webHidden/>
          </w:rPr>
          <w:fldChar w:fldCharType="begin"/>
        </w:r>
        <w:r w:rsidR="00F77052">
          <w:rPr>
            <w:noProof/>
            <w:webHidden/>
          </w:rPr>
          <w:instrText xml:space="preserve"> PAGEREF _Toc384914397 \h </w:instrText>
        </w:r>
        <w:r>
          <w:rPr>
            <w:noProof/>
            <w:webHidden/>
          </w:rPr>
        </w:r>
        <w:r>
          <w:rPr>
            <w:noProof/>
            <w:webHidden/>
          </w:rPr>
          <w:fldChar w:fldCharType="separate"/>
        </w:r>
        <w:r w:rsidR="00832320">
          <w:rPr>
            <w:noProof/>
            <w:webHidden/>
          </w:rPr>
          <w:t>16</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398" w:history="1">
        <w:r w:rsidR="00F77052" w:rsidRPr="0011382C">
          <w:rPr>
            <w:rStyle w:val="Hipercze"/>
            <w:noProof/>
          </w:rPr>
          <w:t>3.1</w:t>
        </w:r>
        <w:r w:rsidR="00F77052">
          <w:rPr>
            <w:rFonts w:eastAsiaTheme="minorEastAsia"/>
            <w:noProof/>
            <w:lang w:eastAsia="pl-PL"/>
          </w:rPr>
          <w:tab/>
        </w:r>
        <w:r w:rsidR="00F77052" w:rsidRPr="0011382C">
          <w:rPr>
            <w:rStyle w:val="Hipercze"/>
            <w:noProof/>
          </w:rPr>
          <w:t>Struktura programu i koncentracja tematyczna</w:t>
        </w:r>
        <w:r w:rsidR="00F77052">
          <w:rPr>
            <w:noProof/>
            <w:webHidden/>
          </w:rPr>
          <w:tab/>
        </w:r>
        <w:r>
          <w:rPr>
            <w:noProof/>
            <w:webHidden/>
          </w:rPr>
          <w:fldChar w:fldCharType="begin"/>
        </w:r>
        <w:r w:rsidR="00F77052">
          <w:rPr>
            <w:noProof/>
            <w:webHidden/>
          </w:rPr>
          <w:instrText xml:space="preserve"> PAGEREF _Toc384914398 \h </w:instrText>
        </w:r>
        <w:r>
          <w:rPr>
            <w:noProof/>
            <w:webHidden/>
          </w:rPr>
        </w:r>
        <w:r>
          <w:rPr>
            <w:noProof/>
            <w:webHidden/>
          </w:rPr>
          <w:fldChar w:fldCharType="separate"/>
        </w:r>
        <w:r w:rsidR="00832320">
          <w:rPr>
            <w:noProof/>
            <w:webHidden/>
          </w:rPr>
          <w:t>16</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399" w:history="1">
        <w:r w:rsidR="00F77052" w:rsidRPr="0011382C">
          <w:rPr>
            <w:rStyle w:val="Hipercze"/>
            <w:noProof/>
          </w:rPr>
          <w:t>3.2</w:t>
        </w:r>
        <w:r w:rsidR="00F77052">
          <w:rPr>
            <w:rFonts w:eastAsiaTheme="minorEastAsia"/>
            <w:noProof/>
            <w:lang w:eastAsia="pl-PL"/>
          </w:rPr>
          <w:tab/>
        </w:r>
        <w:r w:rsidR="00F77052" w:rsidRPr="0011382C">
          <w:rPr>
            <w:rStyle w:val="Hipercze"/>
            <w:noProof/>
          </w:rPr>
          <w:t>Oddziaływanie programu na sytuację społeczno-gospodarczą</w:t>
        </w:r>
        <w:r w:rsidR="00F77052">
          <w:rPr>
            <w:noProof/>
            <w:webHidden/>
          </w:rPr>
          <w:tab/>
        </w:r>
        <w:r>
          <w:rPr>
            <w:noProof/>
            <w:webHidden/>
          </w:rPr>
          <w:fldChar w:fldCharType="begin"/>
        </w:r>
        <w:r w:rsidR="00F77052">
          <w:rPr>
            <w:noProof/>
            <w:webHidden/>
          </w:rPr>
          <w:instrText xml:space="preserve"> PAGEREF _Toc384914399 \h </w:instrText>
        </w:r>
        <w:r>
          <w:rPr>
            <w:noProof/>
            <w:webHidden/>
          </w:rPr>
        </w:r>
        <w:r>
          <w:rPr>
            <w:noProof/>
            <w:webHidden/>
          </w:rPr>
          <w:fldChar w:fldCharType="separate"/>
        </w:r>
        <w:r w:rsidR="00832320">
          <w:rPr>
            <w:noProof/>
            <w:webHidden/>
          </w:rPr>
          <w:t>22</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0" w:history="1">
        <w:r w:rsidR="00F77052" w:rsidRPr="0011382C">
          <w:rPr>
            <w:rStyle w:val="Hipercze"/>
            <w:noProof/>
          </w:rPr>
          <w:t>3.3</w:t>
        </w:r>
        <w:r w:rsidR="00F77052">
          <w:rPr>
            <w:rFonts w:eastAsiaTheme="minorEastAsia"/>
            <w:noProof/>
            <w:lang w:eastAsia="pl-PL"/>
          </w:rPr>
          <w:tab/>
        </w:r>
        <w:r w:rsidR="00F77052" w:rsidRPr="0011382C">
          <w:rPr>
            <w:rStyle w:val="Hipercze"/>
            <w:noProof/>
          </w:rPr>
          <w:t>Wymiar terytorialny interwencji</w:t>
        </w:r>
        <w:r w:rsidR="00F77052">
          <w:rPr>
            <w:noProof/>
            <w:webHidden/>
          </w:rPr>
          <w:tab/>
        </w:r>
        <w:r>
          <w:rPr>
            <w:noProof/>
            <w:webHidden/>
          </w:rPr>
          <w:fldChar w:fldCharType="begin"/>
        </w:r>
        <w:r w:rsidR="00F77052">
          <w:rPr>
            <w:noProof/>
            <w:webHidden/>
          </w:rPr>
          <w:instrText xml:space="preserve"> PAGEREF _Toc384914400 \h </w:instrText>
        </w:r>
        <w:r>
          <w:rPr>
            <w:noProof/>
            <w:webHidden/>
          </w:rPr>
        </w:r>
        <w:r>
          <w:rPr>
            <w:noProof/>
            <w:webHidden/>
          </w:rPr>
          <w:fldChar w:fldCharType="separate"/>
        </w:r>
        <w:r w:rsidR="00832320">
          <w:rPr>
            <w:noProof/>
            <w:webHidden/>
          </w:rPr>
          <w:t>26</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401" w:history="1">
        <w:r w:rsidR="00F77052" w:rsidRPr="0011382C">
          <w:rPr>
            <w:rStyle w:val="Hipercze"/>
            <w:noProof/>
          </w:rPr>
          <w:t>4</w:t>
        </w:r>
        <w:r w:rsidR="00F77052">
          <w:rPr>
            <w:rFonts w:eastAsiaTheme="minorEastAsia"/>
            <w:noProof/>
            <w:lang w:eastAsia="pl-PL"/>
          </w:rPr>
          <w:tab/>
        </w:r>
        <w:r w:rsidR="00F77052" w:rsidRPr="0011382C">
          <w:rPr>
            <w:rStyle w:val="Hipercze"/>
            <w:noProof/>
          </w:rPr>
          <w:t>Ocena interwencji na poziomie osi priorytetowych</w:t>
        </w:r>
        <w:r w:rsidR="00F77052">
          <w:rPr>
            <w:noProof/>
            <w:webHidden/>
          </w:rPr>
          <w:tab/>
        </w:r>
        <w:r>
          <w:rPr>
            <w:noProof/>
            <w:webHidden/>
          </w:rPr>
          <w:fldChar w:fldCharType="begin"/>
        </w:r>
        <w:r w:rsidR="00F77052">
          <w:rPr>
            <w:noProof/>
            <w:webHidden/>
          </w:rPr>
          <w:instrText xml:space="preserve"> PAGEREF _Toc384914401 \h </w:instrText>
        </w:r>
        <w:r>
          <w:rPr>
            <w:noProof/>
            <w:webHidden/>
          </w:rPr>
        </w:r>
        <w:r>
          <w:rPr>
            <w:noProof/>
            <w:webHidden/>
          </w:rPr>
          <w:fldChar w:fldCharType="separate"/>
        </w:r>
        <w:r w:rsidR="00832320">
          <w:rPr>
            <w:noProof/>
            <w:webHidden/>
          </w:rPr>
          <w:t>29</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2" w:history="1">
        <w:r w:rsidR="00F77052" w:rsidRPr="0011382C">
          <w:rPr>
            <w:rStyle w:val="Hipercze"/>
            <w:noProof/>
          </w:rPr>
          <w:t>4.1</w:t>
        </w:r>
        <w:r w:rsidR="00F77052">
          <w:rPr>
            <w:rFonts w:eastAsiaTheme="minorEastAsia"/>
            <w:noProof/>
            <w:lang w:eastAsia="pl-PL"/>
          </w:rPr>
          <w:tab/>
        </w:r>
        <w:r w:rsidR="00F77052" w:rsidRPr="0011382C">
          <w:rPr>
            <w:rStyle w:val="Hipercze"/>
            <w:noProof/>
          </w:rPr>
          <w:t xml:space="preserve">Oś priorytetowa I. </w:t>
        </w:r>
        <w:r w:rsidR="00F77052" w:rsidRPr="0011382C">
          <w:rPr>
            <w:rStyle w:val="Hipercze"/>
            <w:i/>
            <w:noProof/>
          </w:rPr>
          <w:t>Konkurencyjna i innowacyjna gospodarka</w:t>
        </w:r>
        <w:r w:rsidR="00F77052">
          <w:rPr>
            <w:noProof/>
            <w:webHidden/>
          </w:rPr>
          <w:tab/>
        </w:r>
        <w:r>
          <w:rPr>
            <w:noProof/>
            <w:webHidden/>
          </w:rPr>
          <w:fldChar w:fldCharType="begin"/>
        </w:r>
        <w:r w:rsidR="00F77052">
          <w:rPr>
            <w:noProof/>
            <w:webHidden/>
          </w:rPr>
          <w:instrText xml:space="preserve"> PAGEREF _Toc384914402 \h </w:instrText>
        </w:r>
        <w:r>
          <w:rPr>
            <w:noProof/>
            <w:webHidden/>
          </w:rPr>
        </w:r>
        <w:r>
          <w:rPr>
            <w:noProof/>
            <w:webHidden/>
          </w:rPr>
          <w:fldChar w:fldCharType="separate"/>
        </w:r>
        <w:r w:rsidR="00832320">
          <w:rPr>
            <w:noProof/>
            <w:webHidden/>
          </w:rPr>
          <w:t>29</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3" w:history="1">
        <w:r w:rsidR="00F77052" w:rsidRPr="0011382C">
          <w:rPr>
            <w:rStyle w:val="Hipercze"/>
            <w:noProof/>
          </w:rPr>
          <w:t>4.2</w:t>
        </w:r>
        <w:r w:rsidR="00F77052">
          <w:rPr>
            <w:rFonts w:eastAsiaTheme="minorEastAsia"/>
            <w:noProof/>
            <w:lang w:eastAsia="pl-PL"/>
          </w:rPr>
          <w:tab/>
        </w:r>
        <w:r w:rsidR="00F77052" w:rsidRPr="0011382C">
          <w:rPr>
            <w:rStyle w:val="Hipercze"/>
            <w:noProof/>
          </w:rPr>
          <w:t xml:space="preserve">Oś priorytetowa II. </w:t>
        </w:r>
        <w:r w:rsidR="00F77052" w:rsidRPr="0011382C">
          <w:rPr>
            <w:rStyle w:val="Hipercze"/>
            <w:i/>
            <w:noProof/>
          </w:rPr>
          <w:t xml:space="preserve">Cyfrowe </w:t>
        </w:r>
        <w:r w:rsidR="00ED7F2A">
          <w:rPr>
            <w:rStyle w:val="Hipercze"/>
            <w:i/>
            <w:noProof/>
          </w:rPr>
          <w:t>P</w:t>
        </w:r>
        <w:r w:rsidR="00ED7F2A" w:rsidRPr="0011382C">
          <w:rPr>
            <w:rStyle w:val="Hipercze"/>
            <w:i/>
            <w:noProof/>
          </w:rPr>
          <w:t>odkarpackie</w:t>
        </w:r>
        <w:r w:rsidR="00F77052">
          <w:rPr>
            <w:noProof/>
            <w:webHidden/>
          </w:rPr>
          <w:tab/>
        </w:r>
        <w:r>
          <w:rPr>
            <w:noProof/>
            <w:webHidden/>
          </w:rPr>
          <w:fldChar w:fldCharType="begin"/>
        </w:r>
        <w:r w:rsidR="00F77052">
          <w:rPr>
            <w:noProof/>
            <w:webHidden/>
          </w:rPr>
          <w:instrText xml:space="preserve"> PAGEREF _Toc384914403 \h </w:instrText>
        </w:r>
        <w:r>
          <w:rPr>
            <w:noProof/>
            <w:webHidden/>
          </w:rPr>
        </w:r>
        <w:r>
          <w:rPr>
            <w:noProof/>
            <w:webHidden/>
          </w:rPr>
          <w:fldChar w:fldCharType="separate"/>
        </w:r>
        <w:r w:rsidR="00832320">
          <w:rPr>
            <w:noProof/>
            <w:webHidden/>
          </w:rPr>
          <w:t>41</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4" w:history="1">
        <w:r w:rsidR="00F77052" w:rsidRPr="0011382C">
          <w:rPr>
            <w:rStyle w:val="Hipercze"/>
            <w:noProof/>
          </w:rPr>
          <w:t>4.3</w:t>
        </w:r>
        <w:r w:rsidR="00F77052">
          <w:rPr>
            <w:rFonts w:eastAsiaTheme="minorEastAsia"/>
            <w:noProof/>
            <w:lang w:eastAsia="pl-PL"/>
          </w:rPr>
          <w:tab/>
        </w:r>
        <w:r w:rsidR="00F77052" w:rsidRPr="0011382C">
          <w:rPr>
            <w:rStyle w:val="Hipercze"/>
            <w:noProof/>
          </w:rPr>
          <w:t xml:space="preserve">Oś priorytetowa III. </w:t>
        </w:r>
        <w:r w:rsidR="00F77052" w:rsidRPr="0011382C">
          <w:rPr>
            <w:rStyle w:val="Hipercze"/>
            <w:i/>
            <w:noProof/>
          </w:rPr>
          <w:t>Czysta energia</w:t>
        </w:r>
        <w:r w:rsidR="00F77052">
          <w:rPr>
            <w:noProof/>
            <w:webHidden/>
          </w:rPr>
          <w:tab/>
        </w:r>
        <w:r>
          <w:rPr>
            <w:noProof/>
            <w:webHidden/>
          </w:rPr>
          <w:fldChar w:fldCharType="begin"/>
        </w:r>
        <w:r w:rsidR="00F77052">
          <w:rPr>
            <w:noProof/>
            <w:webHidden/>
          </w:rPr>
          <w:instrText xml:space="preserve"> PAGEREF _Toc384914404 \h </w:instrText>
        </w:r>
        <w:r>
          <w:rPr>
            <w:noProof/>
            <w:webHidden/>
          </w:rPr>
        </w:r>
        <w:r>
          <w:rPr>
            <w:noProof/>
            <w:webHidden/>
          </w:rPr>
          <w:fldChar w:fldCharType="separate"/>
        </w:r>
        <w:r w:rsidR="00832320">
          <w:rPr>
            <w:noProof/>
            <w:webHidden/>
          </w:rPr>
          <w:t>46</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5" w:history="1">
        <w:r w:rsidR="00F77052" w:rsidRPr="0011382C">
          <w:rPr>
            <w:rStyle w:val="Hipercze"/>
            <w:noProof/>
          </w:rPr>
          <w:t>4.4</w:t>
        </w:r>
        <w:r w:rsidR="00F77052">
          <w:rPr>
            <w:rFonts w:eastAsiaTheme="minorEastAsia"/>
            <w:noProof/>
            <w:lang w:eastAsia="pl-PL"/>
          </w:rPr>
          <w:tab/>
        </w:r>
        <w:r w:rsidR="00F77052" w:rsidRPr="0011382C">
          <w:rPr>
            <w:rStyle w:val="Hipercze"/>
            <w:noProof/>
          </w:rPr>
          <w:t>Oś priorytetowa IV. Ochrona środowiska naturalnego i dziedzictwa kulturowego</w:t>
        </w:r>
        <w:r w:rsidR="00F77052">
          <w:rPr>
            <w:noProof/>
            <w:webHidden/>
          </w:rPr>
          <w:tab/>
        </w:r>
        <w:r>
          <w:rPr>
            <w:noProof/>
            <w:webHidden/>
          </w:rPr>
          <w:fldChar w:fldCharType="begin"/>
        </w:r>
        <w:r w:rsidR="00F77052">
          <w:rPr>
            <w:noProof/>
            <w:webHidden/>
          </w:rPr>
          <w:instrText xml:space="preserve"> PAGEREF _Toc384914405 \h </w:instrText>
        </w:r>
        <w:r>
          <w:rPr>
            <w:noProof/>
            <w:webHidden/>
          </w:rPr>
        </w:r>
        <w:r>
          <w:rPr>
            <w:noProof/>
            <w:webHidden/>
          </w:rPr>
          <w:fldChar w:fldCharType="separate"/>
        </w:r>
        <w:r w:rsidR="00832320">
          <w:rPr>
            <w:noProof/>
            <w:webHidden/>
          </w:rPr>
          <w:t>57</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6" w:history="1">
        <w:r w:rsidR="00F77052" w:rsidRPr="0011382C">
          <w:rPr>
            <w:rStyle w:val="Hipercze"/>
            <w:noProof/>
          </w:rPr>
          <w:t>4.5</w:t>
        </w:r>
        <w:r w:rsidR="00F77052">
          <w:rPr>
            <w:rFonts w:eastAsiaTheme="minorEastAsia"/>
            <w:noProof/>
            <w:lang w:eastAsia="pl-PL"/>
          </w:rPr>
          <w:tab/>
        </w:r>
        <w:r w:rsidR="00F77052" w:rsidRPr="0011382C">
          <w:rPr>
            <w:rStyle w:val="Hipercze"/>
            <w:noProof/>
          </w:rPr>
          <w:t xml:space="preserve">Oś priorytetowa V. </w:t>
        </w:r>
        <w:r w:rsidR="00F77052" w:rsidRPr="0011382C">
          <w:rPr>
            <w:rStyle w:val="Hipercze"/>
            <w:i/>
            <w:noProof/>
          </w:rPr>
          <w:t>Infrastruktura komunikacyjna</w:t>
        </w:r>
        <w:r w:rsidR="00F77052">
          <w:rPr>
            <w:noProof/>
            <w:webHidden/>
          </w:rPr>
          <w:tab/>
        </w:r>
        <w:r>
          <w:rPr>
            <w:noProof/>
            <w:webHidden/>
          </w:rPr>
          <w:fldChar w:fldCharType="begin"/>
        </w:r>
        <w:r w:rsidR="00F77052">
          <w:rPr>
            <w:noProof/>
            <w:webHidden/>
          </w:rPr>
          <w:instrText xml:space="preserve"> PAGEREF _Toc384914406 \h </w:instrText>
        </w:r>
        <w:r>
          <w:rPr>
            <w:noProof/>
            <w:webHidden/>
          </w:rPr>
        </w:r>
        <w:r>
          <w:rPr>
            <w:noProof/>
            <w:webHidden/>
          </w:rPr>
          <w:fldChar w:fldCharType="separate"/>
        </w:r>
        <w:r w:rsidR="00832320">
          <w:rPr>
            <w:noProof/>
            <w:webHidden/>
          </w:rPr>
          <w:t>70</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7" w:history="1">
        <w:r w:rsidR="00F77052" w:rsidRPr="0011382C">
          <w:rPr>
            <w:rStyle w:val="Hipercze"/>
            <w:noProof/>
          </w:rPr>
          <w:t>4.6</w:t>
        </w:r>
        <w:r w:rsidR="00F77052">
          <w:rPr>
            <w:rFonts w:eastAsiaTheme="minorEastAsia"/>
            <w:noProof/>
            <w:lang w:eastAsia="pl-PL"/>
          </w:rPr>
          <w:tab/>
        </w:r>
        <w:r w:rsidR="00F77052" w:rsidRPr="0011382C">
          <w:rPr>
            <w:rStyle w:val="Hipercze"/>
            <w:noProof/>
          </w:rPr>
          <w:t>Oś priorytetowa VI.</w:t>
        </w:r>
        <w:r w:rsidR="00F77052" w:rsidRPr="0011382C">
          <w:rPr>
            <w:rStyle w:val="Hipercze"/>
            <w:i/>
            <w:noProof/>
          </w:rPr>
          <w:t xml:space="preserve"> Spójność przestrzenna i społeczna</w:t>
        </w:r>
        <w:r w:rsidR="00F77052">
          <w:rPr>
            <w:noProof/>
            <w:webHidden/>
          </w:rPr>
          <w:tab/>
        </w:r>
        <w:r>
          <w:rPr>
            <w:noProof/>
            <w:webHidden/>
          </w:rPr>
          <w:fldChar w:fldCharType="begin"/>
        </w:r>
        <w:r w:rsidR="00F77052">
          <w:rPr>
            <w:noProof/>
            <w:webHidden/>
          </w:rPr>
          <w:instrText xml:space="preserve"> PAGEREF _Toc384914407 \h </w:instrText>
        </w:r>
        <w:r>
          <w:rPr>
            <w:noProof/>
            <w:webHidden/>
          </w:rPr>
        </w:r>
        <w:r>
          <w:rPr>
            <w:noProof/>
            <w:webHidden/>
          </w:rPr>
          <w:fldChar w:fldCharType="separate"/>
        </w:r>
        <w:r w:rsidR="00832320">
          <w:rPr>
            <w:noProof/>
            <w:webHidden/>
          </w:rPr>
          <w:t>80</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8" w:history="1">
        <w:r w:rsidR="00F77052" w:rsidRPr="0011382C">
          <w:rPr>
            <w:rStyle w:val="Hipercze"/>
            <w:noProof/>
          </w:rPr>
          <w:t>4.7</w:t>
        </w:r>
        <w:r w:rsidR="00F77052">
          <w:rPr>
            <w:rFonts w:eastAsiaTheme="minorEastAsia"/>
            <w:noProof/>
            <w:lang w:eastAsia="pl-PL"/>
          </w:rPr>
          <w:tab/>
        </w:r>
        <w:r w:rsidR="00F77052" w:rsidRPr="0011382C">
          <w:rPr>
            <w:rStyle w:val="Hipercze"/>
            <w:noProof/>
          </w:rPr>
          <w:t>Oś priorytetowa VII</w:t>
        </w:r>
        <w:r w:rsidR="00F77052" w:rsidRPr="0011382C">
          <w:rPr>
            <w:rStyle w:val="Hipercze"/>
            <w:i/>
            <w:noProof/>
          </w:rPr>
          <w:t>. Regionalny rynek pracy</w:t>
        </w:r>
        <w:r w:rsidR="00F77052">
          <w:rPr>
            <w:noProof/>
            <w:webHidden/>
          </w:rPr>
          <w:tab/>
        </w:r>
        <w:r>
          <w:rPr>
            <w:noProof/>
            <w:webHidden/>
          </w:rPr>
          <w:fldChar w:fldCharType="begin"/>
        </w:r>
        <w:r w:rsidR="00F77052">
          <w:rPr>
            <w:noProof/>
            <w:webHidden/>
          </w:rPr>
          <w:instrText xml:space="preserve"> PAGEREF _Toc384914408 \h </w:instrText>
        </w:r>
        <w:r>
          <w:rPr>
            <w:noProof/>
            <w:webHidden/>
          </w:rPr>
        </w:r>
        <w:r>
          <w:rPr>
            <w:noProof/>
            <w:webHidden/>
          </w:rPr>
          <w:fldChar w:fldCharType="separate"/>
        </w:r>
        <w:r w:rsidR="00832320">
          <w:rPr>
            <w:noProof/>
            <w:webHidden/>
          </w:rPr>
          <w:t>89</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09" w:history="1">
        <w:r w:rsidR="00F77052" w:rsidRPr="0011382C">
          <w:rPr>
            <w:rStyle w:val="Hipercze"/>
            <w:noProof/>
          </w:rPr>
          <w:t>4.8</w:t>
        </w:r>
        <w:r w:rsidR="00F77052">
          <w:rPr>
            <w:rFonts w:eastAsiaTheme="minorEastAsia"/>
            <w:noProof/>
            <w:lang w:eastAsia="pl-PL"/>
          </w:rPr>
          <w:tab/>
        </w:r>
        <w:r w:rsidR="00F77052" w:rsidRPr="0011382C">
          <w:rPr>
            <w:rStyle w:val="Hipercze"/>
            <w:i/>
            <w:noProof/>
          </w:rPr>
          <w:t xml:space="preserve">Oś </w:t>
        </w:r>
        <w:r w:rsidR="00F77052" w:rsidRPr="0011382C">
          <w:rPr>
            <w:rStyle w:val="Hipercze"/>
            <w:noProof/>
          </w:rPr>
          <w:t xml:space="preserve">priorytetowa </w:t>
        </w:r>
        <w:r w:rsidR="00F77052" w:rsidRPr="0011382C">
          <w:rPr>
            <w:rStyle w:val="Hipercze"/>
            <w:i/>
            <w:noProof/>
          </w:rPr>
          <w:t>VIII Integracja społeczna</w:t>
        </w:r>
        <w:r w:rsidR="00F77052">
          <w:rPr>
            <w:noProof/>
            <w:webHidden/>
          </w:rPr>
          <w:tab/>
        </w:r>
        <w:r>
          <w:rPr>
            <w:noProof/>
            <w:webHidden/>
          </w:rPr>
          <w:fldChar w:fldCharType="begin"/>
        </w:r>
        <w:r w:rsidR="00F77052">
          <w:rPr>
            <w:noProof/>
            <w:webHidden/>
          </w:rPr>
          <w:instrText xml:space="preserve"> PAGEREF _Toc384914409 \h </w:instrText>
        </w:r>
        <w:r>
          <w:rPr>
            <w:noProof/>
            <w:webHidden/>
          </w:rPr>
        </w:r>
        <w:r>
          <w:rPr>
            <w:noProof/>
            <w:webHidden/>
          </w:rPr>
          <w:fldChar w:fldCharType="separate"/>
        </w:r>
        <w:r w:rsidR="00832320">
          <w:rPr>
            <w:noProof/>
            <w:webHidden/>
          </w:rPr>
          <w:t>101</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0" w:history="1">
        <w:r w:rsidR="00F77052" w:rsidRPr="0011382C">
          <w:rPr>
            <w:rStyle w:val="Hipercze"/>
            <w:noProof/>
          </w:rPr>
          <w:t>4.9</w:t>
        </w:r>
        <w:r w:rsidR="00F77052">
          <w:rPr>
            <w:rFonts w:eastAsiaTheme="minorEastAsia"/>
            <w:noProof/>
            <w:lang w:eastAsia="pl-PL"/>
          </w:rPr>
          <w:tab/>
        </w:r>
        <w:r w:rsidR="00F77052" w:rsidRPr="0011382C">
          <w:rPr>
            <w:rStyle w:val="Hipercze"/>
            <w:noProof/>
          </w:rPr>
          <w:t>Oś priorytetowa IX.</w:t>
        </w:r>
        <w:r w:rsidR="00F77052" w:rsidRPr="0011382C">
          <w:rPr>
            <w:rStyle w:val="Hipercze"/>
            <w:i/>
            <w:noProof/>
          </w:rPr>
          <w:t xml:space="preserve"> Jakość edukacji i kompetencji w regionie</w:t>
        </w:r>
        <w:r w:rsidR="00F77052">
          <w:rPr>
            <w:noProof/>
            <w:webHidden/>
          </w:rPr>
          <w:tab/>
        </w:r>
        <w:r>
          <w:rPr>
            <w:noProof/>
            <w:webHidden/>
          </w:rPr>
          <w:fldChar w:fldCharType="begin"/>
        </w:r>
        <w:r w:rsidR="00F77052">
          <w:rPr>
            <w:noProof/>
            <w:webHidden/>
          </w:rPr>
          <w:instrText xml:space="preserve"> PAGEREF _Toc384914410 \h </w:instrText>
        </w:r>
        <w:r>
          <w:rPr>
            <w:noProof/>
            <w:webHidden/>
          </w:rPr>
        </w:r>
        <w:r>
          <w:rPr>
            <w:noProof/>
            <w:webHidden/>
          </w:rPr>
          <w:fldChar w:fldCharType="separate"/>
        </w:r>
        <w:r w:rsidR="00832320">
          <w:rPr>
            <w:noProof/>
            <w:webHidden/>
          </w:rPr>
          <w:t>111</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1" w:history="1">
        <w:r w:rsidR="00F77052" w:rsidRPr="0011382C">
          <w:rPr>
            <w:rStyle w:val="Hipercze"/>
            <w:noProof/>
          </w:rPr>
          <w:t>4.10</w:t>
        </w:r>
        <w:r w:rsidR="00F77052">
          <w:rPr>
            <w:rFonts w:eastAsiaTheme="minorEastAsia"/>
            <w:noProof/>
            <w:lang w:eastAsia="pl-PL"/>
          </w:rPr>
          <w:tab/>
        </w:r>
        <w:r w:rsidR="00F77052" w:rsidRPr="0011382C">
          <w:rPr>
            <w:rStyle w:val="Hipercze"/>
            <w:noProof/>
          </w:rPr>
          <w:t xml:space="preserve">Oś priorytetowa X. </w:t>
        </w:r>
        <w:r w:rsidR="00F77052" w:rsidRPr="0011382C">
          <w:rPr>
            <w:rStyle w:val="Hipercze"/>
            <w:i/>
            <w:noProof/>
          </w:rPr>
          <w:t>Pomoc techniczna</w:t>
        </w:r>
        <w:r w:rsidR="00F77052">
          <w:rPr>
            <w:noProof/>
            <w:webHidden/>
          </w:rPr>
          <w:tab/>
        </w:r>
        <w:r>
          <w:rPr>
            <w:noProof/>
            <w:webHidden/>
          </w:rPr>
          <w:fldChar w:fldCharType="begin"/>
        </w:r>
        <w:r w:rsidR="00F77052">
          <w:rPr>
            <w:noProof/>
            <w:webHidden/>
          </w:rPr>
          <w:instrText xml:space="preserve"> PAGEREF _Toc384914411 \h </w:instrText>
        </w:r>
        <w:r>
          <w:rPr>
            <w:noProof/>
            <w:webHidden/>
          </w:rPr>
        </w:r>
        <w:r>
          <w:rPr>
            <w:noProof/>
            <w:webHidden/>
          </w:rPr>
          <w:fldChar w:fldCharType="separate"/>
        </w:r>
        <w:r w:rsidR="00832320">
          <w:rPr>
            <w:noProof/>
            <w:webHidden/>
          </w:rPr>
          <w:t>121</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412" w:history="1">
        <w:r w:rsidR="00F77052" w:rsidRPr="0011382C">
          <w:rPr>
            <w:rStyle w:val="Hipercze"/>
            <w:noProof/>
          </w:rPr>
          <w:t>5</w:t>
        </w:r>
        <w:r w:rsidR="00F77052">
          <w:rPr>
            <w:rFonts w:eastAsiaTheme="minorEastAsia"/>
            <w:noProof/>
            <w:lang w:eastAsia="pl-PL"/>
          </w:rPr>
          <w:tab/>
        </w:r>
        <w:r w:rsidR="00F77052" w:rsidRPr="0011382C">
          <w:rPr>
            <w:rStyle w:val="Hipercze"/>
            <w:noProof/>
          </w:rPr>
          <w:t>Ocena systemu realizacji</w:t>
        </w:r>
        <w:r w:rsidR="00F77052">
          <w:rPr>
            <w:noProof/>
            <w:webHidden/>
          </w:rPr>
          <w:tab/>
        </w:r>
        <w:r>
          <w:rPr>
            <w:noProof/>
            <w:webHidden/>
          </w:rPr>
          <w:fldChar w:fldCharType="begin"/>
        </w:r>
        <w:r w:rsidR="00F77052">
          <w:rPr>
            <w:noProof/>
            <w:webHidden/>
          </w:rPr>
          <w:instrText xml:space="preserve"> PAGEREF _Toc384914412 \h </w:instrText>
        </w:r>
        <w:r>
          <w:rPr>
            <w:noProof/>
            <w:webHidden/>
          </w:rPr>
        </w:r>
        <w:r>
          <w:rPr>
            <w:noProof/>
            <w:webHidden/>
          </w:rPr>
          <w:fldChar w:fldCharType="separate"/>
        </w:r>
        <w:r w:rsidR="00832320">
          <w:rPr>
            <w:noProof/>
            <w:webHidden/>
          </w:rPr>
          <w:t>123</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3" w:history="1">
        <w:r w:rsidR="00F77052" w:rsidRPr="0011382C">
          <w:rPr>
            <w:rStyle w:val="Hipercze"/>
            <w:noProof/>
          </w:rPr>
          <w:t>5.1</w:t>
        </w:r>
        <w:r w:rsidR="00F77052">
          <w:rPr>
            <w:rFonts w:eastAsiaTheme="minorEastAsia"/>
            <w:noProof/>
            <w:lang w:eastAsia="pl-PL"/>
          </w:rPr>
          <w:tab/>
        </w:r>
        <w:r w:rsidR="00F77052" w:rsidRPr="0011382C">
          <w:rPr>
            <w:rStyle w:val="Hipercze"/>
            <w:noProof/>
          </w:rPr>
          <w:t>Ocena potencjału instytucjonalnego</w:t>
        </w:r>
        <w:r w:rsidR="00F77052">
          <w:rPr>
            <w:noProof/>
            <w:webHidden/>
          </w:rPr>
          <w:tab/>
        </w:r>
        <w:r>
          <w:rPr>
            <w:noProof/>
            <w:webHidden/>
          </w:rPr>
          <w:fldChar w:fldCharType="begin"/>
        </w:r>
        <w:r w:rsidR="00F77052">
          <w:rPr>
            <w:noProof/>
            <w:webHidden/>
          </w:rPr>
          <w:instrText xml:space="preserve"> PAGEREF _Toc384914413 \h </w:instrText>
        </w:r>
        <w:r>
          <w:rPr>
            <w:noProof/>
            <w:webHidden/>
          </w:rPr>
        </w:r>
        <w:r>
          <w:rPr>
            <w:noProof/>
            <w:webHidden/>
          </w:rPr>
          <w:fldChar w:fldCharType="separate"/>
        </w:r>
        <w:r w:rsidR="00832320">
          <w:rPr>
            <w:noProof/>
            <w:webHidden/>
          </w:rPr>
          <w:t>123</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4" w:history="1">
        <w:r w:rsidR="00F77052" w:rsidRPr="0011382C">
          <w:rPr>
            <w:rStyle w:val="Hipercze"/>
            <w:noProof/>
          </w:rPr>
          <w:t>5.2</w:t>
        </w:r>
        <w:r w:rsidR="00F77052">
          <w:rPr>
            <w:rFonts w:eastAsiaTheme="minorEastAsia"/>
            <w:noProof/>
            <w:lang w:eastAsia="pl-PL"/>
          </w:rPr>
          <w:tab/>
        </w:r>
        <w:r w:rsidR="00F77052" w:rsidRPr="0011382C">
          <w:rPr>
            <w:rStyle w:val="Hipercze"/>
            <w:noProof/>
          </w:rPr>
          <w:t>Monitoring i ewaluacja</w:t>
        </w:r>
        <w:r w:rsidR="00F77052">
          <w:rPr>
            <w:noProof/>
            <w:webHidden/>
          </w:rPr>
          <w:tab/>
        </w:r>
        <w:r>
          <w:rPr>
            <w:noProof/>
            <w:webHidden/>
          </w:rPr>
          <w:fldChar w:fldCharType="begin"/>
        </w:r>
        <w:r w:rsidR="00F77052">
          <w:rPr>
            <w:noProof/>
            <w:webHidden/>
          </w:rPr>
          <w:instrText xml:space="preserve"> PAGEREF _Toc384914414 \h </w:instrText>
        </w:r>
        <w:r>
          <w:rPr>
            <w:noProof/>
            <w:webHidden/>
          </w:rPr>
        </w:r>
        <w:r>
          <w:rPr>
            <w:noProof/>
            <w:webHidden/>
          </w:rPr>
          <w:fldChar w:fldCharType="separate"/>
        </w:r>
        <w:r w:rsidR="00832320">
          <w:rPr>
            <w:noProof/>
            <w:webHidden/>
          </w:rPr>
          <w:t>126</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5" w:history="1">
        <w:r w:rsidR="00F77052" w:rsidRPr="0011382C">
          <w:rPr>
            <w:rStyle w:val="Hipercze"/>
            <w:noProof/>
          </w:rPr>
          <w:t>5.3</w:t>
        </w:r>
        <w:r w:rsidR="00F77052">
          <w:rPr>
            <w:rFonts w:eastAsiaTheme="minorEastAsia"/>
            <w:noProof/>
            <w:lang w:eastAsia="pl-PL"/>
          </w:rPr>
          <w:tab/>
        </w:r>
        <w:r w:rsidR="00F77052" w:rsidRPr="0011382C">
          <w:rPr>
            <w:rStyle w:val="Hipercze"/>
            <w:noProof/>
          </w:rPr>
          <w:t>Ocena systemu koordynacji</w:t>
        </w:r>
        <w:r w:rsidR="00F77052">
          <w:rPr>
            <w:noProof/>
            <w:webHidden/>
          </w:rPr>
          <w:tab/>
        </w:r>
        <w:r>
          <w:rPr>
            <w:noProof/>
            <w:webHidden/>
          </w:rPr>
          <w:fldChar w:fldCharType="begin"/>
        </w:r>
        <w:r w:rsidR="00F77052">
          <w:rPr>
            <w:noProof/>
            <w:webHidden/>
          </w:rPr>
          <w:instrText xml:space="preserve"> PAGEREF _Toc384914415 \h </w:instrText>
        </w:r>
        <w:r>
          <w:rPr>
            <w:noProof/>
            <w:webHidden/>
          </w:rPr>
        </w:r>
        <w:r>
          <w:rPr>
            <w:noProof/>
            <w:webHidden/>
          </w:rPr>
          <w:fldChar w:fldCharType="separate"/>
        </w:r>
        <w:r w:rsidR="00832320">
          <w:rPr>
            <w:noProof/>
            <w:webHidden/>
          </w:rPr>
          <w:t>128</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6" w:history="1">
        <w:r w:rsidR="00F77052" w:rsidRPr="0011382C">
          <w:rPr>
            <w:rStyle w:val="Hipercze"/>
            <w:noProof/>
          </w:rPr>
          <w:t>5.4</w:t>
        </w:r>
        <w:r w:rsidR="00F77052">
          <w:rPr>
            <w:rFonts w:eastAsiaTheme="minorEastAsia"/>
            <w:noProof/>
            <w:lang w:eastAsia="pl-PL"/>
          </w:rPr>
          <w:tab/>
        </w:r>
        <w:r w:rsidR="00F77052" w:rsidRPr="0011382C">
          <w:rPr>
            <w:rStyle w:val="Hipercze"/>
            <w:noProof/>
          </w:rPr>
          <w:t>Ocena redukcji obciążeń administracyjnych</w:t>
        </w:r>
        <w:r w:rsidR="00F77052">
          <w:rPr>
            <w:noProof/>
            <w:webHidden/>
          </w:rPr>
          <w:tab/>
        </w:r>
        <w:r>
          <w:rPr>
            <w:noProof/>
            <w:webHidden/>
          </w:rPr>
          <w:fldChar w:fldCharType="begin"/>
        </w:r>
        <w:r w:rsidR="00F77052">
          <w:rPr>
            <w:noProof/>
            <w:webHidden/>
          </w:rPr>
          <w:instrText xml:space="preserve"> PAGEREF _Toc384914416 \h </w:instrText>
        </w:r>
        <w:r>
          <w:rPr>
            <w:noProof/>
            <w:webHidden/>
          </w:rPr>
        </w:r>
        <w:r>
          <w:rPr>
            <w:noProof/>
            <w:webHidden/>
          </w:rPr>
          <w:fldChar w:fldCharType="separate"/>
        </w:r>
        <w:r w:rsidR="00832320">
          <w:rPr>
            <w:noProof/>
            <w:webHidden/>
          </w:rPr>
          <w:t>131</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417" w:history="1">
        <w:r w:rsidR="00F77052" w:rsidRPr="0011382C">
          <w:rPr>
            <w:rStyle w:val="Hipercze"/>
            <w:noProof/>
          </w:rPr>
          <w:t>6</w:t>
        </w:r>
        <w:r w:rsidR="00F77052">
          <w:rPr>
            <w:rFonts w:eastAsiaTheme="minorEastAsia"/>
            <w:noProof/>
            <w:lang w:eastAsia="pl-PL"/>
          </w:rPr>
          <w:tab/>
        </w:r>
        <w:r w:rsidR="00F77052" w:rsidRPr="0011382C">
          <w:rPr>
            <w:rStyle w:val="Hipercze"/>
            <w:noProof/>
          </w:rPr>
          <w:t>Sposób uwzględniania wyników ewaluacji w projekcie RPO WP 2014-2020</w:t>
        </w:r>
        <w:r w:rsidR="00F77052">
          <w:rPr>
            <w:noProof/>
            <w:webHidden/>
          </w:rPr>
          <w:tab/>
        </w:r>
        <w:r>
          <w:rPr>
            <w:noProof/>
            <w:webHidden/>
          </w:rPr>
          <w:fldChar w:fldCharType="begin"/>
        </w:r>
        <w:r w:rsidR="00F77052">
          <w:rPr>
            <w:noProof/>
            <w:webHidden/>
          </w:rPr>
          <w:instrText xml:space="preserve"> PAGEREF _Toc384914417 \h </w:instrText>
        </w:r>
        <w:r>
          <w:rPr>
            <w:noProof/>
            <w:webHidden/>
          </w:rPr>
        </w:r>
        <w:r>
          <w:rPr>
            <w:noProof/>
            <w:webHidden/>
          </w:rPr>
          <w:fldChar w:fldCharType="separate"/>
        </w:r>
        <w:r w:rsidR="00832320">
          <w:rPr>
            <w:noProof/>
            <w:webHidden/>
          </w:rPr>
          <w:t>133</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8" w:history="1">
        <w:r w:rsidR="00F77052" w:rsidRPr="0011382C">
          <w:rPr>
            <w:rStyle w:val="Hipercze"/>
            <w:noProof/>
          </w:rPr>
          <w:t>6.1</w:t>
        </w:r>
        <w:r w:rsidR="00F77052">
          <w:rPr>
            <w:rFonts w:eastAsiaTheme="minorEastAsia"/>
            <w:noProof/>
            <w:lang w:eastAsia="pl-PL"/>
          </w:rPr>
          <w:tab/>
        </w:r>
        <w:r w:rsidR="00F77052" w:rsidRPr="0011382C">
          <w:rPr>
            <w:rStyle w:val="Hipercze"/>
            <w:noProof/>
          </w:rPr>
          <w:t>Oś priorytetowa I. Konkurencyjna i innowacyjna gospodarka</w:t>
        </w:r>
        <w:r w:rsidR="00F77052">
          <w:rPr>
            <w:noProof/>
            <w:webHidden/>
          </w:rPr>
          <w:tab/>
        </w:r>
        <w:r>
          <w:rPr>
            <w:noProof/>
            <w:webHidden/>
          </w:rPr>
          <w:fldChar w:fldCharType="begin"/>
        </w:r>
        <w:r w:rsidR="00F77052">
          <w:rPr>
            <w:noProof/>
            <w:webHidden/>
          </w:rPr>
          <w:instrText xml:space="preserve"> PAGEREF _Toc384914418 \h </w:instrText>
        </w:r>
        <w:r>
          <w:rPr>
            <w:noProof/>
            <w:webHidden/>
          </w:rPr>
        </w:r>
        <w:r>
          <w:rPr>
            <w:noProof/>
            <w:webHidden/>
          </w:rPr>
          <w:fldChar w:fldCharType="separate"/>
        </w:r>
        <w:r w:rsidR="00832320">
          <w:rPr>
            <w:noProof/>
            <w:webHidden/>
          </w:rPr>
          <w:t>134</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19" w:history="1">
        <w:r w:rsidR="00F77052" w:rsidRPr="0011382C">
          <w:rPr>
            <w:rStyle w:val="Hipercze"/>
            <w:noProof/>
          </w:rPr>
          <w:t>6.2</w:t>
        </w:r>
        <w:r w:rsidR="00F77052">
          <w:rPr>
            <w:rFonts w:eastAsiaTheme="minorEastAsia"/>
            <w:noProof/>
            <w:lang w:eastAsia="pl-PL"/>
          </w:rPr>
          <w:tab/>
        </w:r>
        <w:r w:rsidR="00F77052" w:rsidRPr="0011382C">
          <w:rPr>
            <w:rStyle w:val="Hipercze"/>
            <w:noProof/>
          </w:rPr>
          <w:t>Oś priorytetowa II. Cyfrowe Podkarpackie</w:t>
        </w:r>
        <w:r w:rsidR="00F77052">
          <w:rPr>
            <w:noProof/>
            <w:webHidden/>
          </w:rPr>
          <w:tab/>
        </w:r>
        <w:r>
          <w:rPr>
            <w:noProof/>
            <w:webHidden/>
          </w:rPr>
          <w:fldChar w:fldCharType="begin"/>
        </w:r>
        <w:r w:rsidR="00F77052">
          <w:rPr>
            <w:noProof/>
            <w:webHidden/>
          </w:rPr>
          <w:instrText xml:space="preserve"> PAGEREF _Toc384914419 \h </w:instrText>
        </w:r>
        <w:r>
          <w:rPr>
            <w:noProof/>
            <w:webHidden/>
          </w:rPr>
        </w:r>
        <w:r>
          <w:rPr>
            <w:noProof/>
            <w:webHidden/>
          </w:rPr>
          <w:fldChar w:fldCharType="separate"/>
        </w:r>
        <w:r w:rsidR="00832320">
          <w:rPr>
            <w:noProof/>
            <w:webHidden/>
          </w:rPr>
          <w:t>135</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0" w:history="1">
        <w:r w:rsidR="00F77052" w:rsidRPr="0011382C">
          <w:rPr>
            <w:rStyle w:val="Hipercze"/>
            <w:noProof/>
          </w:rPr>
          <w:t>6.3</w:t>
        </w:r>
        <w:r w:rsidR="00F77052">
          <w:rPr>
            <w:rFonts w:eastAsiaTheme="minorEastAsia"/>
            <w:noProof/>
            <w:lang w:eastAsia="pl-PL"/>
          </w:rPr>
          <w:tab/>
        </w:r>
        <w:r w:rsidR="00F77052" w:rsidRPr="0011382C">
          <w:rPr>
            <w:rStyle w:val="Hipercze"/>
            <w:noProof/>
          </w:rPr>
          <w:t>Oś priorytetowa III. Czysta energia</w:t>
        </w:r>
        <w:r w:rsidR="00F77052">
          <w:rPr>
            <w:noProof/>
            <w:webHidden/>
          </w:rPr>
          <w:tab/>
        </w:r>
        <w:r>
          <w:rPr>
            <w:noProof/>
            <w:webHidden/>
          </w:rPr>
          <w:fldChar w:fldCharType="begin"/>
        </w:r>
        <w:r w:rsidR="00F77052">
          <w:rPr>
            <w:noProof/>
            <w:webHidden/>
          </w:rPr>
          <w:instrText xml:space="preserve"> PAGEREF _Toc384914420 \h </w:instrText>
        </w:r>
        <w:r>
          <w:rPr>
            <w:noProof/>
            <w:webHidden/>
          </w:rPr>
        </w:r>
        <w:r>
          <w:rPr>
            <w:noProof/>
            <w:webHidden/>
          </w:rPr>
          <w:fldChar w:fldCharType="separate"/>
        </w:r>
        <w:r w:rsidR="00832320">
          <w:rPr>
            <w:noProof/>
            <w:webHidden/>
          </w:rPr>
          <w:t>135</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1" w:history="1">
        <w:r w:rsidR="00F77052" w:rsidRPr="0011382C">
          <w:rPr>
            <w:rStyle w:val="Hipercze"/>
            <w:noProof/>
          </w:rPr>
          <w:t>6.4</w:t>
        </w:r>
        <w:r w:rsidR="00F77052">
          <w:rPr>
            <w:rFonts w:eastAsiaTheme="minorEastAsia"/>
            <w:noProof/>
            <w:lang w:eastAsia="pl-PL"/>
          </w:rPr>
          <w:tab/>
        </w:r>
        <w:r w:rsidR="00F77052" w:rsidRPr="0011382C">
          <w:rPr>
            <w:rStyle w:val="Hipercze"/>
            <w:noProof/>
          </w:rPr>
          <w:t>Oś priorytetowa IV. Ochrona środowiska naturalnego i dziedzictwa kulturowego</w:t>
        </w:r>
        <w:r w:rsidR="00F77052">
          <w:rPr>
            <w:noProof/>
            <w:webHidden/>
          </w:rPr>
          <w:tab/>
        </w:r>
        <w:r>
          <w:rPr>
            <w:noProof/>
            <w:webHidden/>
          </w:rPr>
          <w:fldChar w:fldCharType="begin"/>
        </w:r>
        <w:r w:rsidR="00F77052">
          <w:rPr>
            <w:noProof/>
            <w:webHidden/>
          </w:rPr>
          <w:instrText xml:space="preserve"> PAGEREF _Toc384914421 \h </w:instrText>
        </w:r>
        <w:r>
          <w:rPr>
            <w:noProof/>
            <w:webHidden/>
          </w:rPr>
        </w:r>
        <w:r>
          <w:rPr>
            <w:noProof/>
            <w:webHidden/>
          </w:rPr>
          <w:fldChar w:fldCharType="separate"/>
        </w:r>
        <w:r w:rsidR="00832320">
          <w:rPr>
            <w:noProof/>
            <w:webHidden/>
          </w:rPr>
          <w:t>136</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2" w:history="1">
        <w:r w:rsidR="00F77052" w:rsidRPr="0011382C">
          <w:rPr>
            <w:rStyle w:val="Hipercze"/>
            <w:noProof/>
          </w:rPr>
          <w:t>6.5</w:t>
        </w:r>
        <w:r w:rsidR="00F77052">
          <w:rPr>
            <w:rFonts w:eastAsiaTheme="minorEastAsia"/>
            <w:noProof/>
            <w:lang w:eastAsia="pl-PL"/>
          </w:rPr>
          <w:tab/>
        </w:r>
        <w:r w:rsidR="00F77052" w:rsidRPr="0011382C">
          <w:rPr>
            <w:rStyle w:val="Hipercze"/>
            <w:noProof/>
          </w:rPr>
          <w:t>Oś priorytetowa V. Infrastruktura komunikacyjna</w:t>
        </w:r>
        <w:r w:rsidR="00F77052">
          <w:rPr>
            <w:noProof/>
            <w:webHidden/>
          </w:rPr>
          <w:tab/>
        </w:r>
        <w:r>
          <w:rPr>
            <w:noProof/>
            <w:webHidden/>
          </w:rPr>
          <w:fldChar w:fldCharType="begin"/>
        </w:r>
        <w:r w:rsidR="00F77052">
          <w:rPr>
            <w:noProof/>
            <w:webHidden/>
          </w:rPr>
          <w:instrText xml:space="preserve"> PAGEREF _Toc384914422 \h </w:instrText>
        </w:r>
        <w:r>
          <w:rPr>
            <w:noProof/>
            <w:webHidden/>
          </w:rPr>
        </w:r>
        <w:r>
          <w:rPr>
            <w:noProof/>
            <w:webHidden/>
          </w:rPr>
          <w:fldChar w:fldCharType="separate"/>
        </w:r>
        <w:r w:rsidR="00832320">
          <w:rPr>
            <w:noProof/>
            <w:webHidden/>
          </w:rPr>
          <w:t>137</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3" w:history="1">
        <w:r w:rsidR="00F77052" w:rsidRPr="0011382C">
          <w:rPr>
            <w:rStyle w:val="Hipercze"/>
            <w:noProof/>
          </w:rPr>
          <w:t>6.6</w:t>
        </w:r>
        <w:r w:rsidR="00F77052">
          <w:rPr>
            <w:rFonts w:eastAsiaTheme="minorEastAsia"/>
            <w:noProof/>
            <w:lang w:eastAsia="pl-PL"/>
          </w:rPr>
          <w:tab/>
        </w:r>
        <w:r w:rsidR="00F77052" w:rsidRPr="0011382C">
          <w:rPr>
            <w:rStyle w:val="Hipercze"/>
            <w:noProof/>
          </w:rPr>
          <w:t>Oś priorytetowa VI.</w:t>
        </w:r>
        <w:r w:rsidR="00F77052" w:rsidRPr="0011382C">
          <w:rPr>
            <w:rStyle w:val="Hipercze"/>
            <w:i/>
            <w:noProof/>
          </w:rPr>
          <w:t xml:space="preserve"> Spójność przestrzenna i społeczna</w:t>
        </w:r>
        <w:r w:rsidR="00F77052">
          <w:rPr>
            <w:noProof/>
            <w:webHidden/>
          </w:rPr>
          <w:tab/>
        </w:r>
        <w:r>
          <w:rPr>
            <w:noProof/>
            <w:webHidden/>
          </w:rPr>
          <w:fldChar w:fldCharType="begin"/>
        </w:r>
        <w:r w:rsidR="00F77052">
          <w:rPr>
            <w:noProof/>
            <w:webHidden/>
          </w:rPr>
          <w:instrText xml:space="preserve"> PAGEREF _Toc384914423 \h </w:instrText>
        </w:r>
        <w:r>
          <w:rPr>
            <w:noProof/>
            <w:webHidden/>
          </w:rPr>
        </w:r>
        <w:r>
          <w:rPr>
            <w:noProof/>
            <w:webHidden/>
          </w:rPr>
          <w:fldChar w:fldCharType="separate"/>
        </w:r>
        <w:r w:rsidR="00832320">
          <w:rPr>
            <w:noProof/>
            <w:webHidden/>
          </w:rPr>
          <w:t>138</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4" w:history="1">
        <w:r w:rsidR="00F77052" w:rsidRPr="0011382C">
          <w:rPr>
            <w:rStyle w:val="Hipercze"/>
            <w:noProof/>
          </w:rPr>
          <w:t>6.7</w:t>
        </w:r>
        <w:r w:rsidR="00F77052">
          <w:rPr>
            <w:rFonts w:eastAsiaTheme="minorEastAsia"/>
            <w:noProof/>
            <w:lang w:eastAsia="pl-PL"/>
          </w:rPr>
          <w:tab/>
        </w:r>
        <w:r w:rsidR="00F77052" w:rsidRPr="0011382C">
          <w:rPr>
            <w:rStyle w:val="Hipercze"/>
            <w:noProof/>
          </w:rPr>
          <w:t>Oś priorytetowa VII</w:t>
        </w:r>
        <w:r w:rsidR="00F77052" w:rsidRPr="0011382C">
          <w:rPr>
            <w:rStyle w:val="Hipercze"/>
            <w:i/>
            <w:noProof/>
          </w:rPr>
          <w:t>. Regionalny rynek pracy</w:t>
        </w:r>
        <w:r w:rsidR="00F77052">
          <w:rPr>
            <w:noProof/>
            <w:webHidden/>
          </w:rPr>
          <w:tab/>
        </w:r>
        <w:r>
          <w:rPr>
            <w:noProof/>
            <w:webHidden/>
          </w:rPr>
          <w:fldChar w:fldCharType="begin"/>
        </w:r>
        <w:r w:rsidR="00F77052">
          <w:rPr>
            <w:noProof/>
            <w:webHidden/>
          </w:rPr>
          <w:instrText xml:space="preserve"> PAGEREF _Toc384914424 \h </w:instrText>
        </w:r>
        <w:r>
          <w:rPr>
            <w:noProof/>
            <w:webHidden/>
          </w:rPr>
        </w:r>
        <w:r>
          <w:rPr>
            <w:noProof/>
            <w:webHidden/>
          </w:rPr>
          <w:fldChar w:fldCharType="separate"/>
        </w:r>
        <w:r w:rsidR="00832320">
          <w:rPr>
            <w:noProof/>
            <w:webHidden/>
          </w:rPr>
          <w:t>139</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5" w:history="1">
        <w:r w:rsidR="00F77052" w:rsidRPr="0011382C">
          <w:rPr>
            <w:rStyle w:val="Hipercze"/>
            <w:noProof/>
          </w:rPr>
          <w:t>6.8</w:t>
        </w:r>
        <w:r w:rsidR="00F77052">
          <w:rPr>
            <w:rFonts w:eastAsiaTheme="minorEastAsia"/>
            <w:noProof/>
            <w:lang w:eastAsia="pl-PL"/>
          </w:rPr>
          <w:tab/>
        </w:r>
        <w:r w:rsidR="00F77052" w:rsidRPr="0011382C">
          <w:rPr>
            <w:rStyle w:val="Hipercze"/>
            <w:i/>
            <w:noProof/>
          </w:rPr>
          <w:t xml:space="preserve">Oś </w:t>
        </w:r>
        <w:r w:rsidR="00F77052" w:rsidRPr="0011382C">
          <w:rPr>
            <w:rStyle w:val="Hipercze"/>
            <w:noProof/>
          </w:rPr>
          <w:t xml:space="preserve">priorytetowa </w:t>
        </w:r>
        <w:r w:rsidR="00F77052" w:rsidRPr="0011382C">
          <w:rPr>
            <w:rStyle w:val="Hipercze"/>
            <w:i/>
            <w:noProof/>
          </w:rPr>
          <w:t>VIII. Integracja społeczna</w:t>
        </w:r>
        <w:r w:rsidR="00F77052">
          <w:rPr>
            <w:noProof/>
            <w:webHidden/>
          </w:rPr>
          <w:tab/>
        </w:r>
        <w:r>
          <w:rPr>
            <w:noProof/>
            <w:webHidden/>
          </w:rPr>
          <w:fldChar w:fldCharType="begin"/>
        </w:r>
        <w:r w:rsidR="00F77052">
          <w:rPr>
            <w:noProof/>
            <w:webHidden/>
          </w:rPr>
          <w:instrText xml:space="preserve"> PAGEREF _Toc384914425 \h </w:instrText>
        </w:r>
        <w:r>
          <w:rPr>
            <w:noProof/>
            <w:webHidden/>
          </w:rPr>
        </w:r>
        <w:r>
          <w:rPr>
            <w:noProof/>
            <w:webHidden/>
          </w:rPr>
          <w:fldChar w:fldCharType="separate"/>
        </w:r>
        <w:r w:rsidR="00832320">
          <w:rPr>
            <w:noProof/>
            <w:webHidden/>
          </w:rPr>
          <w:t>141</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6" w:history="1">
        <w:r w:rsidR="00F77052" w:rsidRPr="0011382C">
          <w:rPr>
            <w:rStyle w:val="Hipercze"/>
            <w:noProof/>
          </w:rPr>
          <w:t>6.9</w:t>
        </w:r>
        <w:r w:rsidR="00F77052">
          <w:rPr>
            <w:rFonts w:eastAsiaTheme="minorEastAsia"/>
            <w:noProof/>
            <w:lang w:eastAsia="pl-PL"/>
          </w:rPr>
          <w:tab/>
        </w:r>
        <w:r w:rsidR="00F77052" w:rsidRPr="0011382C">
          <w:rPr>
            <w:rStyle w:val="Hipercze"/>
            <w:noProof/>
          </w:rPr>
          <w:t>Oś priorytetowa IX.</w:t>
        </w:r>
        <w:r w:rsidR="00F77052" w:rsidRPr="0011382C">
          <w:rPr>
            <w:rStyle w:val="Hipercze"/>
            <w:i/>
            <w:noProof/>
          </w:rPr>
          <w:t xml:space="preserve"> Jakość edukacji i kompetencji w regionie</w:t>
        </w:r>
        <w:r w:rsidR="00F77052">
          <w:rPr>
            <w:noProof/>
            <w:webHidden/>
          </w:rPr>
          <w:tab/>
        </w:r>
        <w:r>
          <w:rPr>
            <w:noProof/>
            <w:webHidden/>
          </w:rPr>
          <w:fldChar w:fldCharType="begin"/>
        </w:r>
        <w:r w:rsidR="00F77052">
          <w:rPr>
            <w:noProof/>
            <w:webHidden/>
          </w:rPr>
          <w:instrText xml:space="preserve"> PAGEREF _Toc384914426 \h </w:instrText>
        </w:r>
        <w:r>
          <w:rPr>
            <w:noProof/>
            <w:webHidden/>
          </w:rPr>
        </w:r>
        <w:r>
          <w:rPr>
            <w:noProof/>
            <w:webHidden/>
          </w:rPr>
          <w:fldChar w:fldCharType="separate"/>
        </w:r>
        <w:r w:rsidR="00832320">
          <w:rPr>
            <w:noProof/>
            <w:webHidden/>
          </w:rPr>
          <w:t>142</w:t>
        </w:r>
        <w:r>
          <w:rPr>
            <w:noProof/>
            <w:webHidden/>
          </w:rPr>
          <w:fldChar w:fldCharType="end"/>
        </w:r>
      </w:hyperlink>
    </w:p>
    <w:p w:rsidR="00F77052" w:rsidRDefault="001B04AC" w:rsidP="00F77052">
      <w:pPr>
        <w:pStyle w:val="Spistreci1"/>
        <w:tabs>
          <w:tab w:val="left" w:pos="440"/>
          <w:tab w:val="right" w:leader="dot" w:pos="9060"/>
        </w:tabs>
        <w:spacing w:after="0"/>
        <w:rPr>
          <w:rFonts w:eastAsiaTheme="minorEastAsia"/>
          <w:noProof/>
          <w:lang w:eastAsia="pl-PL"/>
        </w:rPr>
      </w:pPr>
      <w:hyperlink w:anchor="_Toc384914427" w:history="1">
        <w:r w:rsidR="00F77052" w:rsidRPr="0011382C">
          <w:rPr>
            <w:rStyle w:val="Hipercze"/>
            <w:noProof/>
          </w:rPr>
          <w:t>7</w:t>
        </w:r>
        <w:r w:rsidR="00F77052">
          <w:rPr>
            <w:rFonts w:eastAsiaTheme="minorEastAsia"/>
            <w:noProof/>
            <w:lang w:eastAsia="pl-PL"/>
          </w:rPr>
          <w:tab/>
        </w:r>
        <w:r w:rsidR="00F77052" w:rsidRPr="0011382C">
          <w:rPr>
            <w:rStyle w:val="Hipercze"/>
            <w:noProof/>
          </w:rPr>
          <w:t>Załączniki</w:t>
        </w:r>
        <w:r w:rsidR="00F77052">
          <w:rPr>
            <w:noProof/>
            <w:webHidden/>
          </w:rPr>
          <w:tab/>
        </w:r>
        <w:r>
          <w:rPr>
            <w:noProof/>
            <w:webHidden/>
          </w:rPr>
          <w:fldChar w:fldCharType="begin"/>
        </w:r>
        <w:r w:rsidR="00F77052">
          <w:rPr>
            <w:noProof/>
            <w:webHidden/>
          </w:rPr>
          <w:instrText xml:space="preserve"> PAGEREF _Toc384914427 \h </w:instrText>
        </w:r>
        <w:r>
          <w:rPr>
            <w:noProof/>
            <w:webHidden/>
          </w:rPr>
        </w:r>
        <w:r>
          <w:rPr>
            <w:noProof/>
            <w:webHidden/>
          </w:rPr>
          <w:fldChar w:fldCharType="separate"/>
        </w:r>
        <w:r w:rsidR="00832320">
          <w:rPr>
            <w:noProof/>
            <w:webHidden/>
          </w:rPr>
          <w:t>143</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8" w:history="1">
        <w:r w:rsidR="00F77052" w:rsidRPr="0011382C">
          <w:rPr>
            <w:rStyle w:val="Hipercze"/>
            <w:noProof/>
          </w:rPr>
          <w:t>7.1</w:t>
        </w:r>
        <w:r w:rsidR="00F77052">
          <w:rPr>
            <w:rFonts w:eastAsiaTheme="minorEastAsia"/>
            <w:noProof/>
            <w:lang w:eastAsia="pl-PL"/>
          </w:rPr>
          <w:tab/>
        </w:r>
        <w:r w:rsidR="00F77052" w:rsidRPr="0011382C">
          <w:rPr>
            <w:rStyle w:val="Hipercze"/>
            <w:noProof/>
          </w:rPr>
          <w:t>Wstępny zarys planu ewaluacji RPO WP 2014-2020</w:t>
        </w:r>
        <w:r w:rsidR="00F77052">
          <w:rPr>
            <w:noProof/>
            <w:webHidden/>
          </w:rPr>
          <w:tab/>
        </w:r>
        <w:r>
          <w:rPr>
            <w:noProof/>
            <w:webHidden/>
          </w:rPr>
          <w:fldChar w:fldCharType="begin"/>
        </w:r>
        <w:r w:rsidR="00F77052">
          <w:rPr>
            <w:noProof/>
            <w:webHidden/>
          </w:rPr>
          <w:instrText xml:space="preserve"> PAGEREF _Toc384914428 \h </w:instrText>
        </w:r>
        <w:r>
          <w:rPr>
            <w:noProof/>
            <w:webHidden/>
          </w:rPr>
        </w:r>
        <w:r>
          <w:rPr>
            <w:noProof/>
            <w:webHidden/>
          </w:rPr>
          <w:fldChar w:fldCharType="separate"/>
        </w:r>
        <w:r w:rsidR="00832320">
          <w:rPr>
            <w:noProof/>
            <w:webHidden/>
          </w:rPr>
          <w:t>143</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29" w:history="1">
        <w:r w:rsidR="00F77052" w:rsidRPr="0011382C">
          <w:rPr>
            <w:rStyle w:val="Hipercze"/>
            <w:noProof/>
          </w:rPr>
          <w:t>7.2</w:t>
        </w:r>
        <w:r w:rsidR="00F77052">
          <w:rPr>
            <w:rFonts w:eastAsiaTheme="minorEastAsia"/>
            <w:noProof/>
            <w:lang w:eastAsia="pl-PL"/>
          </w:rPr>
          <w:tab/>
        </w:r>
        <w:r w:rsidR="00F77052" w:rsidRPr="0011382C">
          <w:rPr>
            <w:rStyle w:val="Hipercze"/>
            <w:noProof/>
          </w:rPr>
          <w:t>Synteza strategicznej oceny oddziaływania na środowisko</w:t>
        </w:r>
        <w:r w:rsidR="00F77052">
          <w:rPr>
            <w:noProof/>
            <w:webHidden/>
          </w:rPr>
          <w:tab/>
        </w:r>
        <w:r>
          <w:rPr>
            <w:noProof/>
            <w:webHidden/>
          </w:rPr>
          <w:fldChar w:fldCharType="begin"/>
        </w:r>
        <w:r w:rsidR="00F77052">
          <w:rPr>
            <w:noProof/>
            <w:webHidden/>
          </w:rPr>
          <w:instrText xml:space="preserve"> PAGEREF _Toc384914429 \h </w:instrText>
        </w:r>
        <w:r>
          <w:rPr>
            <w:noProof/>
            <w:webHidden/>
          </w:rPr>
        </w:r>
        <w:r>
          <w:rPr>
            <w:noProof/>
            <w:webHidden/>
          </w:rPr>
          <w:fldChar w:fldCharType="separate"/>
        </w:r>
        <w:r w:rsidR="00832320">
          <w:rPr>
            <w:noProof/>
            <w:webHidden/>
          </w:rPr>
          <w:t>154</w:t>
        </w:r>
        <w:r>
          <w:rPr>
            <w:noProof/>
            <w:webHidden/>
          </w:rPr>
          <w:fldChar w:fldCharType="end"/>
        </w:r>
      </w:hyperlink>
    </w:p>
    <w:p w:rsidR="00F77052" w:rsidRDefault="001B04AC" w:rsidP="00F77052">
      <w:pPr>
        <w:pStyle w:val="Spistreci2"/>
        <w:spacing w:after="0"/>
        <w:rPr>
          <w:rFonts w:eastAsiaTheme="minorEastAsia"/>
          <w:noProof/>
          <w:lang w:eastAsia="pl-PL"/>
        </w:rPr>
      </w:pPr>
      <w:hyperlink w:anchor="_Toc384914430" w:history="1">
        <w:r w:rsidR="00F77052" w:rsidRPr="0011382C">
          <w:rPr>
            <w:rStyle w:val="Hipercze"/>
            <w:noProof/>
          </w:rPr>
          <w:t>7.3</w:t>
        </w:r>
        <w:r w:rsidR="00F77052">
          <w:rPr>
            <w:rFonts w:eastAsiaTheme="minorEastAsia"/>
            <w:noProof/>
            <w:lang w:eastAsia="pl-PL"/>
          </w:rPr>
          <w:tab/>
        </w:r>
        <w:r w:rsidR="00F77052" w:rsidRPr="0011382C">
          <w:rPr>
            <w:rStyle w:val="Hipercze"/>
            <w:noProof/>
          </w:rPr>
          <w:t>Raport metodologiczny (w oddzielnym pliku)</w:t>
        </w:r>
        <w:r w:rsidR="00F77052">
          <w:rPr>
            <w:noProof/>
            <w:webHidden/>
          </w:rPr>
          <w:tab/>
        </w:r>
        <w:r>
          <w:rPr>
            <w:noProof/>
            <w:webHidden/>
          </w:rPr>
          <w:fldChar w:fldCharType="begin"/>
        </w:r>
        <w:r w:rsidR="00F77052">
          <w:rPr>
            <w:noProof/>
            <w:webHidden/>
          </w:rPr>
          <w:instrText xml:space="preserve"> PAGEREF _Toc384914430 \h </w:instrText>
        </w:r>
        <w:r>
          <w:rPr>
            <w:noProof/>
            <w:webHidden/>
          </w:rPr>
        </w:r>
        <w:r>
          <w:rPr>
            <w:noProof/>
            <w:webHidden/>
          </w:rPr>
          <w:fldChar w:fldCharType="separate"/>
        </w:r>
        <w:r w:rsidR="00832320">
          <w:rPr>
            <w:noProof/>
            <w:webHidden/>
          </w:rPr>
          <w:t>188</w:t>
        </w:r>
        <w:r>
          <w:rPr>
            <w:noProof/>
            <w:webHidden/>
          </w:rPr>
          <w:fldChar w:fldCharType="end"/>
        </w:r>
      </w:hyperlink>
    </w:p>
    <w:p w:rsidR="00230E9D" w:rsidRDefault="001B04AC" w:rsidP="00F77052">
      <w:pPr>
        <w:spacing w:after="0"/>
      </w:pPr>
      <w:r>
        <w:fldChar w:fldCharType="end"/>
      </w:r>
      <w:r w:rsidR="0089402A">
        <w:br w:type="page"/>
      </w:r>
      <w:bookmarkStart w:id="0" w:name="_Toc369792650"/>
    </w:p>
    <w:p w:rsidR="00F35DFF" w:rsidRDefault="00F35DFF" w:rsidP="00F35DFF">
      <w:pPr>
        <w:pStyle w:val="Nagwek1"/>
        <w:numPr>
          <w:ilvl w:val="0"/>
          <w:numId w:val="0"/>
        </w:numPr>
        <w:ind w:left="431" w:hanging="431"/>
      </w:pPr>
      <w:bookmarkStart w:id="1" w:name="_Toc384914394"/>
      <w:r>
        <w:lastRenderedPageBreak/>
        <w:t>Streszczenie raportu</w:t>
      </w:r>
      <w:bookmarkEnd w:id="1"/>
    </w:p>
    <w:p w:rsidR="00F35DFF" w:rsidRDefault="00F35DFF" w:rsidP="00F35DFF">
      <w:r>
        <w:t xml:space="preserve">Raport jest podsumowaniem ewaluacji </w:t>
      </w:r>
      <w:proofErr w:type="spellStart"/>
      <w:r>
        <w:t>ex-ante</w:t>
      </w:r>
      <w:proofErr w:type="spellEnd"/>
      <w:r>
        <w:t xml:space="preserve"> </w:t>
      </w:r>
      <w:r w:rsidRPr="00A53102">
        <w:rPr>
          <w:i/>
        </w:rPr>
        <w:t>Regionalnego Programu Operacyjnego Województwa Podkarpackiego na lata 2014-2020</w:t>
      </w:r>
      <w:r>
        <w:t xml:space="preserve"> zrealizowanej przez konsorcjum Instytutu Badań Strukturalnych, </w:t>
      </w:r>
      <w:proofErr w:type="spellStart"/>
      <w:r>
        <w:t>Coffey</w:t>
      </w:r>
      <w:proofErr w:type="spellEnd"/>
      <w:r>
        <w:t xml:space="preserve">  International Development i </w:t>
      </w:r>
      <w:proofErr w:type="spellStart"/>
      <w:r>
        <w:t>Reytech</w:t>
      </w:r>
      <w:proofErr w:type="spellEnd"/>
      <w:r>
        <w:t>. Ewaluację zrealizowano w trybie partycypacyjnym. Zespół badawczy na bieżąco współpracował z autorami programu oraz systematycznie opiniował kolejne części ocenianego dokumentu – w raporcie przedstawiono najważniejsze zmiany, które były wynikiem rekomendacji wypracowanych w toku ewaluacji.</w:t>
      </w:r>
    </w:p>
    <w:p w:rsidR="00F35DFF" w:rsidRDefault="00F35DFF" w:rsidP="00F35DFF">
      <w:r>
        <w:t xml:space="preserve">Przyjęta w programie koncentracja tematyczna interwencji została częściowo zdeterminowana przez minimalne udziały w alokacji wyznaczone dla wybranych celów tematycznych (tzw. </w:t>
      </w:r>
      <w:proofErr w:type="spellStart"/>
      <w:r>
        <w:t>ring-fencingi</w:t>
      </w:r>
      <w:proofErr w:type="spellEnd"/>
      <w:r>
        <w:t xml:space="preserve">). Zgodnie z tymi pułapami w okresie 2014-2020 większy nacisk zostanie położony na interwencję związaną z celami strategii Europy 2020 – w szczególności w obszarze innowacyjności, działań energetyczno-klimatycznych oraz wybranych wyzwań społecznych. Podział alokacji zaproponowany w projekcie analizowanego programu wychodzi jednak naprzeciw także specyficznej sytuacji województwa podkarpackiego, co widać w szczególności na poziomie poszczególnych osi priorytetowych. </w:t>
      </w:r>
    </w:p>
    <w:p w:rsidR="00F35DFF" w:rsidRPr="00560120" w:rsidRDefault="00F35DFF" w:rsidP="00F35DFF">
      <w:pPr>
        <w:rPr>
          <w:b/>
          <w:i/>
        </w:rPr>
      </w:pPr>
      <w:r>
        <w:rPr>
          <w:b/>
        </w:rPr>
        <w:t>O</w:t>
      </w:r>
      <w:r w:rsidRPr="00560120">
        <w:rPr>
          <w:b/>
        </w:rPr>
        <w:t>ś priorytetowa I</w:t>
      </w:r>
      <w:r>
        <w:rPr>
          <w:b/>
        </w:rPr>
        <w:t xml:space="preserve">. </w:t>
      </w:r>
      <w:r>
        <w:rPr>
          <w:b/>
          <w:i/>
        </w:rPr>
        <w:t>Konkurencyjna i innowacyjna gospodarka</w:t>
      </w:r>
    </w:p>
    <w:p w:rsidR="00F35DFF" w:rsidRDefault="00F35DFF" w:rsidP="00F35DFF">
      <w:r>
        <w:t xml:space="preserve">Oś priorytetowa I łączy w sobie interwencję celu tematycznego III. (skoncentrowanego </w:t>
      </w:r>
      <w:r w:rsidR="00FD5E31">
        <w:t xml:space="preserve">                                                                                    </w:t>
      </w:r>
      <w:r>
        <w:t xml:space="preserve">na podnoszeniu konkurencyjności przedsiębiorstw) i priorytetu inwestycyjnego 1.2 (skierowanego na wsparcie </w:t>
      </w:r>
      <w:proofErr w:type="spellStart"/>
      <w:r>
        <w:t>B+R</w:t>
      </w:r>
      <w:proofErr w:type="spellEnd"/>
      <w:r>
        <w:t xml:space="preserve"> i innowacyjności). W województwie podkarpackim zrezygnowano z realizacji priorytetu inwestycyjnego 1.1. Interwencja przewidziana osią priorytetową skonstruowana jest w nawiązaniu do unikalnej sytuacji gospodarczej województwa, które z jednej strony posiada nowoczesny, zaawansowany przemysł, charakteryzujący się wysokimi nakładami na działalność </w:t>
      </w:r>
      <w:proofErr w:type="spellStart"/>
      <w:r>
        <w:t>B+R</w:t>
      </w:r>
      <w:proofErr w:type="spellEnd"/>
      <w:r>
        <w:t xml:space="preserve">, z drugiej strony na poziomie zagregowanym cechuje je jeden z niższych w kraju wskaźników PKB per capita. </w:t>
      </w:r>
      <w:r w:rsidR="006E50D0">
        <w:t> </w:t>
      </w:r>
      <w:r>
        <w:t xml:space="preserve">Te cechy województwa są dobrze oddane w interwencji w ramach osi I., która z jednej strony ma budować i rozszerzać istniejący potencjał w zakresie </w:t>
      </w:r>
      <w:proofErr w:type="spellStart"/>
      <w:r>
        <w:t>B+R</w:t>
      </w:r>
      <w:proofErr w:type="spellEnd"/>
      <w:r>
        <w:t xml:space="preserve"> i innowacji, z drugiej mają być w jej ramach prowadzone działania promujące rozwój przedsiębiorczości – w tym także w dziedzinach dających szansę na impuls rozwojowy</w:t>
      </w:r>
      <w:r w:rsidR="00ED7F2A">
        <w:t xml:space="preserve"> dla</w:t>
      </w:r>
      <w:r>
        <w:t xml:space="preserve"> na obszarów charakteryzujących się niższą aktywnością gospodarczą. W zakresie wsparcia działalności </w:t>
      </w:r>
      <w:proofErr w:type="spellStart"/>
      <w:r>
        <w:t>B+R</w:t>
      </w:r>
      <w:proofErr w:type="spellEnd"/>
      <w:r>
        <w:t xml:space="preserve"> i innowacyjnej, punkt ciężkości położony został </w:t>
      </w:r>
      <w:r w:rsidR="006E50D0">
        <w:t xml:space="preserve">  </w:t>
      </w:r>
      <w:r>
        <w:t xml:space="preserve">na wsparcie przedsiębiorstw, jednocześnie nie wyklucza się ze wsparcia także instytucji naukowych czy szkół wyższych – w zakresie przyczyniającym się do zwiększenia zastosowania wyników prac badawczych w gospodarce. </w:t>
      </w:r>
    </w:p>
    <w:p w:rsidR="00F35DFF" w:rsidRDefault="00F35DFF" w:rsidP="00F35DFF">
      <w:r>
        <w:t xml:space="preserve">Wsparcie przedsiębiorczości skoncentrowane jest na przyspieszeniu wzrostu istniejących przedsiębiorstw poprzez dofinansowanie ich projektów inwestycyjnych, przy czym w programie podkreślono wagę rozwoju turystyki oraz wykorzystania TIK – w których to obszarach interwencja jest istotna także w kontekście tworzenia szans wzrostu na obszarach charakteryzujących się obecnie niższą aktywnością gospodarczą. Istotnymi dalszymi elementami polityki w zakresie wsparcia rozwoju przedsiębiorstw będzie tworzenie warunków dla ich powstawania i ekspansji (usługi IOB, w tym inkubatorów oraz przygotowanie terenów inwestycyjnych) a także promocja gospodarcza regionu – prowadzona tak w celu zwiększenia napływu inwestycji, jak i wsparcia eksportu oraz promocji </w:t>
      </w:r>
      <w:proofErr w:type="spellStart"/>
      <w:r>
        <w:t>destynacji</w:t>
      </w:r>
      <w:proofErr w:type="spellEnd"/>
      <w:r>
        <w:t xml:space="preserve"> turystycznych w województwie. </w:t>
      </w:r>
    </w:p>
    <w:p w:rsidR="00F35DFF" w:rsidRPr="00560120" w:rsidRDefault="00F35DFF" w:rsidP="00F35DFF">
      <w:pPr>
        <w:rPr>
          <w:b/>
          <w:i/>
        </w:rPr>
      </w:pPr>
      <w:r>
        <w:rPr>
          <w:b/>
        </w:rPr>
        <w:lastRenderedPageBreak/>
        <w:t>O</w:t>
      </w:r>
      <w:r w:rsidRPr="00560120">
        <w:rPr>
          <w:b/>
        </w:rPr>
        <w:t>ś priorytetowa I</w:t>
      </w:r>
      <w:r>
        <w:rPr>
          <w:b/>
        </w:rPr>
        <w:t xml:space="preserve">I. </w:t>
      </w:r>
      <w:r>
        <w:rPr>
          <w:b/>
          <w:i/>
        </w:rPr>
        <w:t>Cyfrowe Podkarpackie</w:t>
      </w:r>
    </w:p>
    <w:p w:rsidR="00F35DFF" w:rsidRDefault="00F35DFF" w:rsidP="00F35DFF">
      <w:r>
        <w:t xml:space="preserve">Celem osi priorytetowej II  jest wzrost jakości i rozszerzenie zakresu usług publicznych świadczonych drogą elektroniczną. Trzeba zauważyć, że pozostałe działania z zakresu społeczeństwa cyfrowego realizowane są z poziomu krajowego (rozwój sieci szerokopasmowych) lub zostały połączone z interwencją w ramach wsparcia przedsiębiorstw – stąd koncentracja osi na e-usługach publicznych. Interwencja jest zdefiniowana w kontekście dotychczasowych działań w zakresie informatyzacji sektora publicznego i rozwoju e-usług publicznych, a planowane działania zakrojone są szeroko i dotyczą wszystkich istotnych obszarów funkcjonowania instytucji publicznych – jednocześnie ich praktyczna realizacja będzie zależeć w dużej mierze od koordynacji na poziomie krajowym i regionalnym – przy czym potrzebę i znaczenie dla efektywności wsparcia koordynacji działań silnie wyeksponowano w programie. </w:t>
      </w:r>
    </w:p>
    <w:p w:rsidR="00F35DFF" w:rsidRPr="00560120" w:rsidRDefault="00F35DFF" w:rsidP="00F35DFF">
      <w:pPr>
        <w:rPr>
          <w:b/>
        </w:rPr>
      </w:pPr>
      <w:r>
        <w:rPr>
          <w:b/>
        </w:rPr>
        <w:t>O</w:t>
      </w:r>
      <w:r w:rsidRPr="00560120">
        <w:rPr>
          <w:b/>
        </w:rPr>
        <w:t>ś priorytetowa I</w:t>
      </w:r>
      <w:r>
        <w:rPr>
          <w:b/>
        </w:rPr>
        <w:t xml:space="preserve">II. </w:t>
      </w:r>
      <w:r w:rsidRPr="00560120">
        <w:rPr>
          <w:b/>
          <w:i/>
        </w:rPr>
        <w:t>Czysta energia</w:t>
      </w:r>
      <w:r>
        <w:rPr>
          <w:b/>
        </w:rPr>
        <w:t xml:space="preserve"> </w:t>
      </w:r>
    </w:p>
    <w:p w:rsidR="00F35DFF" w:rsidRPr="00560120" w:rsidRDefault="00F35DFF" w:rsidP="00F35DFF">
      <w:r>
        <w:t xml:space="preserve">Ogólnym celem interwencji w osi priorytetowej III jest </w:t>
      </w:r>
      <w:r>
        <w:rPr>
          <w:i/>
        </w:rPr>
        <w:t xml:space="preserve">poprawa efektywności energetycznej oraz zwiększenie udziału odnawialnych źródeł energii. </w:t>
      </w:r>
      <w:r>
        <w:t xml:space="preserve">Został on sformułowany poprawie i w sposób wychodzący naprzeciw celom europejskim (pakiet energetyczno-klimatyczny), w szczegółowych założeniach interwencji uwzględniono jednak także indywidualną specyfikę województwa podkarpackiego. </w:t>
      </w:r>
      <w:r w:rsidRPr="00D5466E">
        <w:t>Szczególnie pozytywnie należy ocenić koncentrację tem</w:t>
      </w:r>
      <w:r>
        <w:t>atyczną w osi III</w:t>
      </w:r>
      <w:r w:rsidRPr="00D5466E">
        <w:t>. Autorzy programu podjęli słuszną decyzję o przeznaczeniu całej alokacji wyłącznie na trzy priorytety inwestycyjne</w:t>
      </w:r>
      <w:r>
        <w:t xml:space="preserve"> rezygnując z </w:t>
      </w:r>
      <w:r w:rsidRPr="00D5466E">
        <w:t xml:space="preserve">oddzielnych instrumentów dla MŚP (które będą mogły otrzymać wsparcie w OP1) oraz dla instalacji </w:t>
      </w:r>
      <w:proofErr w:type="spellStart"/>
      <w:r w:rsidRPr="00D5466E">
        <w:t>kogeneracyjnych</w:t>
      </w:r>
      <w:proofErr w:type="spellEnd"/>
      <w:r w:rsidRPr="00D5466E">
        <w:t xml:space="preserve"> (powiązanie tej form</w:t>
      </w:r>
      <w:r>
        <w:t>y</w:t>
      </w:r>
      <w:r w:rsidRPr="00D5466E">
        <w:t xml:space="preserve"> wsparcia z odnawialnymi źródłami energii w PI 4.1). Trafnym rozwiązaniem jest także przeznaczanie relatywnie największej</w:t>
      </w:r>
      <w:r>
        <w:t xml:space="preserve"> alokacji na zadania związane z </w:t>
      </w:r>
      <w:r w:rsidRPr="00D5466E">
        <w:t>efektywnością energetyczną w sektorz</w:t>
      </w:r>
      <w:r>
        <w:t>e budownictwa mieszkaniowego i </w:t>
      </w:r>
      <w:r w:rsidRPr="00D5466E">
        <w:t>budynków użyteczności publicznej, który charakteryzuje się dużym potencjałem obniżenia energochłonno</w:t>
      </w:r>
      <w:r>
        <w:t>ści oraz – w </w:t>
      </w:r>
      <w:r w:rsidRPr="00D5466E">
        <w:t>konsekwencji - zmniejszenia emisji gazów cieplarnianych.</w:t>
      </w:r>
      <w:r w:rsidRPr="006D2FEA">
        <w:t xml:space="preserve"> We wszystkich priorytetach inwestycyjnych należy jednak pamiętać, żeby </w:t>
      </w:r>
      <w:r>
        <w:t xml:space="preserve">dostępne środki </w:t>
      </w:r>
      <w:r w:rsidRPr="006D2FEA">
        <w:t>kierować na obszary,</w:t>
      </w:r>
      <w:r>
        <w:t xml:space="preserve"> w których będą</w:t>
      </w:r>
      <w:r w:rsidRPr="006D2FEA">
        <w:t xml:space="preserve"> maksymalnie przyczyniały się do realizacji </w:t>
      </w:r>
      <w:r>
        <w:t>planowanych rezultatów</w:t>
      </w:r>
      <w:r w:rsidRPr="006D2FEA">
        <w:t xml:space="preserve"> oraz były w jak największym stopniu uzupełniane przez środki prywatne.</w:t>
      </w:r>
    </w:p>
    <w:p w:rsidR="00F35DFF" w:rsidRPr="00560120" w:rsidRDefault="00F35DFF" w:rsidP="00F35DFF">
      <w:pPr>
        <w:rPr>
          <w:b/>
        </w:rPr>
      </w:pPr>
      <w:r>
        <w:rPr>
          <w:b/>
        </w:rPr>
        <w:t>O</w:t>
      </w:r>
      <w:r w:rsidRPr="00560120">
        <w:rPr>
          <w:b/>
        </w:rPr>
        <w:t>ś priorytetowa IV</w:t>
      </w:r>
      <w:r>
        <w:rPr>
          <w:b/>
        </w:rPr>
        <w:t xml:space="preserve">. </w:t>
      </w:r>
      <w:r w:rsidRPr="00560120">
        <w:rPr>
          <w:b/>
          <w:i/>
        </w:rPr>
        <w:t>Ochrona środowiska naturalnego i dziedzictwa kulturowego</w:t>
      </w:r>
      <w:r>
        <w:rPr>
          <w:b/>
        </w:rPr>
        <w:t xml:space="preserve"> </w:t>
      </w:r>
    </w:p>
    <w:p w:rsidR="00F35DFF" w:rsidRDefault="00F35DFF" w:rsidP="00F35DFF">
      <w:r>
        <w:t xml:space="preserve">Interwencja w ramach osi priorytetowej IV skupia w sobie szereg działań z zakresu ochrony środowiska i adaptacji do zmian klimatu, uzupełnionych o zagadnienia dotyczące dziedzictwa kulturowego. Cel główny obejmujący wszystkie te obszary zdefiniowany został jako </w:t>
      </w:r>
      <w:r>
        <w:rPr>
          <w:i/>
        </w:rPr>
        <w:t xml:space="preserve">ochrona  środowiska, zachowanie bioróżnorodności oraz wykorzystanie dziedzictwa kulturowego dla zwiększenia atrakcyjności regionu. </w:t>
      </w:r>
      <w:r>
        <w:t xml:space="preserve">Jego realizacji służyć ma osiągnięcie 6 celów szczegółowych, odpowiadających poszczególnym priorytetom inwestycyjnym. W ramach priorytetu 5.2, którego celem będzie zwiększenie odporności na wynikające ze zmian klimatu zagrożenia występujące na terenie województwa podkarpackiego, wsparcie przeznaczone zostanie m.in. na rozwój małej retencji, wzmocnienie systemów monitoringu i reagowania na zagrożenia oraz działania przeciwpowodziowe. Celem priorytetu 6.1 będzie rozwój systemu gospodarki odpadami komunalnymi oraz poprawa gospodarki odpadami niebezpiecznymi i innymi niż komunalne, do jego osiągnięcia prowadzić ma stworzenie systemu gospodarki odpadami zgodnego z hierarchią </w:t>
      </w:r>
      <w:r>
        <w:lastRenderedPageBreak/>
        <w:t xml:space="preserve">postępowania z opadami. Poprawie stanu gospodarki wodno-ściekowej na terenie województwa (cel priorytetu 6.2) służyć ma uzupełnienie systemu </w:t>
      </w:r>
      <w:proofErr w:type="spellStart"/>
      <w:r>
        <w:t>gospodarki-wodnościekowej</w:t>
      </w:r>
      <w:proofErr w:type="spellEnd"/>
      <w:r>
        <w:t xml:space="preserve">, w szczególności w zakresie dostępu do kanalizacji i oczyszczania ścieków. W ramach priorytetu 6.3 planowane jest osiągnięcie celu związanego z rozwojem zasobów kultury i ochroną zabytków województwa podkarpackiego. Interwencja w priorytecie 6.4 ma na celu przywrócenie i ochronę różnorodności biologicznej, natomiast priorytet 6.5 dedykowany jest poprawie jakości przestrzeni miejskiej. W ujęciu ogólnym zakres i logika interwencji zaprezentowana w programie nie budzą kontrowersji. Potrzeba realizacji większości z zaplanowanych działań wynika wprost ze zobowiązań akcesyjnych oraz wytycznych dokumentów strategicznych poziomu unijnego i krajowego. Ze względu na ograniczoną alokację, uniemożliwiającą zaspokojenie wszystkich potrzeb, kluczowa będzie koncentracja na wyborze i realizacji najbardziej efektywnych rozwiązań, w obszarach o największych potencjałach i/lub potrzebach. </w:t>
      </w:r>
    </w:p>
    <w:p w:rsidR="00F35DFF" w:rsidRPr="00834639" w:rsidRDefault="00F35DFF" w:rsidP="00F35DFF">
      <w:pPr>
        <w:rPr>
          <w:b/>
        </w:rPr>
      </w:pPr>
      <w:r w:rsidRPr="00A527C6">
        <w:rPr>
          <w:b/>
        </w:rPr>
        <w:t xml:space="preserve">Oś priorytetowa </w:t>
      </w:r>
      <w:r>
        <w:rPr>
          <w:b/>
        </w:rPr>
        <w:t xml:space="preserve">V. </w:t>
      </w:r>
      <w:r w:rsidRPr="00B9451C">
        <w:rPr>
          <w:b/>
          <w:i/>
        </w:rPr>
        <w:t>Infrastruktura komunikacyjna</w:t>
      </w:r>
    </w:p>
    <w:p w:rsidR="00F35DFF" w:rsidRDefault="00F35DFF" w:rsidP="00F35DFF">
      <w:r>
        <w:t xml:space="preserve">Nadrzędnym celem osi priorytetowej V jest </w:t>
      </w:r>
      <w:r w:rsidRPr="00834639">
        <w:rPr>
          <w:i/>
        </w:rPr>
        <w:t>poprawa powiązań komunikacyjnych województwa</w:t>
      </w:r>
      <w:r>
        <w:t xml:space="preserve">. Takie zdefiniowanie oczekiwanego rezultatu interwencji należy ocenić jako poprawne - wskazuje ono jednocześnie na kluczowe wyzwanie, jakim jest konieczność poprawny dostępności zewnętrznej, z drugiej strony akcentuje także potrzebę podjęcia działań związanych ze zwiększeniem wewnętrznej spójności regionu. Zakres interwencji sformułowano właściwie: oprócz trzech priorytetów inwestycyjnych celu tematycznego 7, uwzględniono również zadania związanie z niskoemisyjnym transportem publicznym (PI 4.5), co pozwoliło na umiejscowienie wszystkich inwestycji transportowych w jednej osi priorytetowej. Koncentrację tematyczną należy ocenić jako prawidłową: największy nacisk położono na dalszą modernizację infrastruktury drogowej, w szczególności poprawę powiązań regionu z siecią </w:t>
      </w:r>
      <w:proofErr w:type="spellStart"/>
      <w:r>
        <w:t>TEN-T</w:t>
      </w:r>
      <w:proofErr w:type="spellEnd"/>
      <w:r>
        <w:t>. Warto jednak także zauważyć, że istotny udział w alokacji będą miały także inne gałęzie transportu: kolejowy, intermodalny oraz transport miejski. Zaplanowany zakres interwencji także należy ocenić jako poprawny. Warunkiem sukcesu przewidzianych w programie działań będzie wybór konkretnych projektów inwestycyjnych. Podczas ich selekcji należy zwrócić szczególnie dużą uwagę na przedsięwzięcia, które w największym stopniu przyczynią się do poprawy jakości oferty systemu transportowego województwa podkarpackiego.</w:t>
      </w:r>
    </w:p>
    <w:p w:rsidR="00F35DFF" w:rsidRPr="00560120" w:rsidRDefault="00F35DFF" w:rsidP="00F35DFF">
      <w:pPr>
        <w:jc w:val="left"/>
        <w:rPr>
          <w:b/>
          <w:i/>
        </w:rPr>
      </w:pPr>
      <w:r>
        <w:rPr>
          <w:b/>
        </w:rPr>
        <w:t>O</w:t>
      </w:r>
      <w:r w:rsidRPr="00560120">
        <w:rPr>
          <w:b/>
        </w:rPr>
        <w:t>ś priorytetowa VI</w:t>
      </w:r>
      <w:r>
        <w:rPr>
          <w:b/>
        </w:rPr>
        <w:t xml:space="preserve">. </w:t>
      </w:r>
      <w:r>
        <w:rPr>
          <w:b/>
          <w:i/>
        </w:rPr>
        <w:t>Spójność społeczna i przestrzenna</w:t>
      </w:r>
    </w:p>
    <w:p w:rsidR="00F35DFF" w:rsidRDefault="00F35DFF" w:rsidP="00F35DFF">
      <w:r>
        <w:t>Celem interwencji w ramach osi VI jest poprawienie dostępu do usług społecznych, zdrowotnych i edukacyjnych, rozwój obszarów defaworyzowanych i wzrost zatrudnienia na bazie endogenicznych zasobów. Oś obejmuje cztery priorytety inwestycyjne, wchodzące w skład celów tematycznych 8-10, finansowane z EFRR. Należy ją zatem rozpatrywać przede wszystkim z punktu widzenia spójności i komplementarności z osiami VII – IX. W takim ujęciu zaproponowany kształt osi jest uzasadniony.</w:t>
      </w:r>
    </w:p>
    <w:p w:rsidR="00F35DFF" w:rsidRDefault="00F35DFF" w:rsidP="00F35DFF">
      <w:r>
        <w:t xml:space="preserve">Zdefiniowane w ramach osi cele stanowią odpowiedź na zdiagnozowane problemy i wyzwania, w tym w szczególności potrzebę poprawy dostępu do wysokiej jakości usług społecznych, zdrowotnych i edukacyjnych, a także inwestycji w obszary </w:t>
      </w:r>
      <w:proofErr w:type="spellStart"/>
      <w:r>
        <w:t>defaworyzowane</w:t>
      </w:r>
      <w:proofErr w:type="spellEnd"/>
      <w:r>
        <w:t xml:space="preserve">. Wśród szerokiego katalogu planowanych działań szczególne znaczenie będą miały inwestycje w usługi zdrowotne i społeczne. Zachodzące zmiany demograficzne będą przyczyniać się do wzrostu popytu na usługi tego typu, a zaproponowany zakres usług bierze pod uwagę potrzeby i wyzwania związane z sytuacją społeczną. </w:t>
      </w:r>
      <w:r>
        <w:lastRenderedPageBreak/>
        <w:t>Ważnym obszarem interwencji będą również inwestycje w infrastrukturę edukacyjną, co w powiązaniu z działaniami finansowanymi z EFS daje szansę na poprawę efektów uczenia. Rewitalizacja będzie wdrażana na zupełnie innych zasadach niż dotychczas – kluczowe znaczenie będą miały cele społeczne, a przedsięwzięcia infrastrukturalne będą musiały być komplementarne z przedsięwzięciami społecznymi. Działaniom tym towarzyszyć również będą inwestycje przyczyniająca się do stworzenia warunków do wzrostu zatrudnienia na bazie potencjału regionalnych uzdrowisk, które znajdują się w częściach województwa charakteryzujących się wysokim poziomem bezrobocia. Sam zakres interwencji przewidzianej w programie, choć szeroki, nie budzi kontrowersji, jednak dla zwiększenia jej efektywności duże znaczenie będzie miała koncentracja na rozwiązaniu kluczowych problemów i wykorzystaniu najważniejszych potencjałów rozwojowych.</w:t>
      </w:r>
    </w:p>
    <w:p w:rsidR="00F35DFF" w:rsidRPr="00560120" w:rsidRDefault="00F35DFF" w:rsidP="00F35DFF">
      <w:pPr>
        <w:rPr>
          <w:b/>
          <w:i/>
        </w:rPr>
      </w:pPr>
      <w:r>
        <w:rPr>
          <w:b/>
        </w:rPr>
        <w:t>O</w:t>
      </w:r>
      <w:r w:rsidRPr="00560120">
        <w:rPr>
          <w:b/>
        </w:rPr>
        <w:t>ś priorytetowa VII</w:t>
      </w:r>
      <w:r>
        <w:rPr>
          <w:b/>
        </w:rPr>
        <w:t xml:space="preserve">. </w:t>
      </w:r>
      <w:r>
        <w:rPr>
          <w:b/>
          <w:i/>
        </w:rPr>
        <w:t>Regionalny rynek pracy</w:t>
      </w:r>
    </w:p>
    <w:p w:rsidR="00F35DFF" w:rsidRDefault="00F35DFF" w:rsidP="00F35DFF">
      <w:r w:rsidRPr="00837134">
        <w:t xml:space="preserve">Oś priorytetowa </w:t>
      </w:r>
      <w:r w:rsidRPr="00560120">
        <w:t>V</w:t>
      </w:r>
      <w:r>
        <w:t>I</w:t>
      </w:r>
      <w:r w:rsidRPr="00560120">
        <w:t>I</w:t>
      </w:r>
      <w:r w:rsidRPr="00897689">
        <w:rPr>
          <w:i/>
        </w:rPr>
        <w:t xml:space="preserve"> Regionalny rynek pracy</w:t>
      </w:r>
      <w:r>
        <w:t xml:space="preserve">  stanowi pakiet interwencji, który ma na celu przeciwdziałać negatywnym zjawiskom w obszarze zatrudnienia. Służyć temu będą projekty realizowane w pięciu obszarach wyróżnionych przez priorytety inwestycyjne. Każdemu priorytetowi przypisano cel szczegółowy, który ma odzwierciedlać pozytywną zmianę na rynku pracy. Osią interwencji jest aktywizacja osób pozostających bez zatrudnienia poprzez zindywidualizowane kompleksowe działania aktywizacyjne (PI 8.5) i tworzenie nowych miejsc pracy poprzez wsparcie finansowe i szkoleniowo-doradcze ułatwiające zakładanie działalności gospodarczej osobom niepracującym (PI 8.7). Elementami uzupełniającymi działania aktywizacyjne jest wsparcie pracowników przedsiębiorstw poprzez poprawę ich</w:t>
      </w:r>
      <w:r w:rsidRPr="00C70B14">
        <w:t xml:space="preserve"> kwalifikacji zgodnie ze zdiagnozowanymi potrzebami rozwojowymi</w:t>
      </w:r>
      <w:r>
        <w:t xml:space="preserve">. Dodatkowo zaplanowano wsparcie dla przedsiębiorstw i ich pracowników </w:t>
      </w:r>
      <w:r w:rsidRPr="00DF5D7C">
        <w:t>dotkniętych procesami zmiany gospodarczej</w:t>
      </w:r>
      <w:r>
        <w:t xml:space="preserve"> (PI 8.9). Pomoc ma charakter zarówno prewencyjny (programy naprawcze dla firm), jak i reakcyjny wobec zwolnień pracowników. Uzupełnieniem dla tych działań jest umożliwienie wejścia na rynek pracy rodzicom sprawującym opiekę nad małym dzieckiem. W tym celu w PI 8.8 przewidziano działania nakierowane na z</w:t>
      </w:r>
      <w:r w:rsidRPr="00982FF8">
        <w:t>większenie poziomu zatrudnienia wśród osób mających utrudniony dostęp do rynku pracy z powodu sprawowania opieki nad dziećmi do lat 3</w:t>
      </w:r>
      <w:r>
        <w:t xml:space="preserve">. Aby ograniczyć bierność zawodową spowodowaną stanem zdrowia, w PI 8.10 zaplanowano działania </w:t>
      </w:r>
      <w:r w:rsidRPr="00B808C6">
        <w:t>ukierunkowane zarówno na fizyczny, jak i psychiczny aspekt zdrowia</w:t>
      </w:r>
      <w:r>
        <w:t xml:space="preserve">. </w:t>
      </w:r>
    </w:p>
    <w:p w:rsidR="00F35DFF" w:rsidRDefault="00F35DFF" w:rsidP="00F35DFF">
      <w:r>
        <w:t xml:space="preserve">Interwencja we wskazanych obszarach wpisuje się w regionalne, krajowe i europejskie dokumenty strategiczne i jest spójna wewnętrznie oraz kompletna. Została też adekwatnie uzasadniona sytuacją na lokalnym rynku pracy. W przypadku kluczowych elementów wsparcia przewidziano mechanizmy zapewniające wysoką jakość interwencji. Sposób ich aplikacji będzie ważnym warunkiem </w:t>
      </w:r>
      <w:r w:rsidR="006353DB">
        <w:t xml:space="preserve">powodzenia </w:t>
      </w:r>
      <w:r>
        <w:t>interwencji, podobnie jak zasugerowane uszczegółowienia programu w dokumentach wdrożeniowych.</w:t>
      </w:r>
    </w:p>
    <w:p w:rsidR="00F35DFF" w:rsidRPr="00560120" w:rsidRDefault="00F35DFF" w:rsidP="00F35DFF">
      <w:pPr>
        <w:rPr>
          <w:b/>
        </w:rPr>
      </w:pPr>
      <w:r>
        <w:rPr>
          <w:b/>
        </w:rPr>
        <w:t>O</w:t>
      </w:r>
      <w:r w:rsidRPr="00560120">
        <w:rPr>
          <w:b/>
        </w:rPr>
        <w:t>ś priorytetowa VII</w:t>
      </w:r>
      <w:r>
        <w:rPr>
          <w:b/>
        </w:rPr>
        <w:t xml:space="preserve">I. </w:t>
      </w:r>
      <w:r w:rsidRPr="00560120">
        <w:rPr>
          <w:b/>
          <w:i/>
        </w:rPr>
        <w:t>Integracja społeczna</w:t>
      </w:r>
    </w:p>
    <w:p w:rsidR="00F35DFF" w:rsidRDefault="00F35DFF" w:rsidP="00F35DFF">
      <w:r w:rsidRPr="005B11E1">
        <w:rPr>
          <w:i/>
        </w:rPr>
        <w:t xml:space="preserve">Oś priorytetowa </w:t>
      </w:r>
      <w:r w:rsidRPr="00560120">
        <w:t>VIII</w:t>
      </w:r>
      <w:r w:rsidRPr="005B11E1">
        <w:rPr>
          <w:i/>
        </w:rPr>
        <w:t xml:space="preserve"> Integracja społeczna</w:t>
      </w:r>
      <w:r>
        <w:rPr>
          <w:i/>
        </w:rPr>
        <w:t xml:space="preserve"> </w:t>
      </w:r>
      <w:r>
        <w:t xml:space="preserve">jest nastawiona na poprawę spójności społecznej, zgodnie z zapisami Umowy Partnerstwa. Wsparcie w tej osi jest realizowane poprzez trzy priorytety inwestycyjne, finansowane ze środków EFS. </w:t>
      </w:r>
      <w:r w:rsidRPr="002774BB">
        <w:t>Zapisana w progra</w:t>
      </w:r>
      <w:r>
        <w:t>mie komplementarność wsparcia z </w:t>
      </w:r>
      <w:r w:rsidRPr="002774BB">
        <w:t>odpowiednimi PI z CT 9 nastawionymi na rozwój infrastruktury (finansowanych z EFRR) pozwala na zaprogramowanie interwencji możliwe kompleksowej.</w:t>
      </w:r>
      <w:r>
        <w:t xml:space="preserve"> Wsparcie w PI 9.4 nastawione jest na aktywną </w:t>
      </w:r>
      <w:r>
        <w:lastRenderedPageBreak/>
        <w:t xml:space="preserve">integrację. Założona </w:t>
      </w:r>
      <w:r w:rsidRPr="002774BB">
        <w:t xml:space="preserve"> logik</w:t>
      </w:r>
      <w:r>
        <w:t>a</w:t>
      </w:r>
      <w:r w:rsidRPr="002774BB">
        <w:t xml:space="preserve"> interwencji</w:t>
      </w:r>
      <w:r>
        <w:t xml:space="preserve"> słusznie bazuje na aktywizacji dzięki „ścieżce wsparcia”, a nie punktowej pomocy. Dzięki temu we wsparcie zostaną włączone także pomioty integracyjne i zatrudnienia socjalnego. Skuteczność interwencji będzie wzmacniać </w:t>
      </w:r>
      <w:r w:rsidRPr="00A05AE3">
        <w:t>efektywna współpraca międzyinstytucjonalna.</w:t>
      </w:r>
      <w:r>
        <w:t xml:space="preserve"> Priorytet 9.7 pomoże zaspokoić podstawowe potrzeby w zakresie usług społecznych i zdrowotnych, wybranych zgodnie ze zdiagnozowanymi potrzebami. Wsparcie w PI 9.8 zostanie skierowane do podmiotów ekonomii społecznej. </w:t>
      </w:r>
      <w:r w:rsidRPr="00A8356B">
        <w:t>Osią rozwoju sektora mają być ośrodki wsparcia ekonomii społecznej.</w:t>
      </w:r>
      <w:r>
        <w:t xml:space="preserve"> Pomoc udzielona w tym priorytecie przede wszystkim doprowadzi do</w:t>
      </w:r>
      <w:r w:rsidRPr="00C61852">
        <w:t xml:space="preserve"> </w:t>
      </w:r>
      <w:r>
        <w:t>wy</w:t>
      </w:r>
      <w:r w:rsidRPr="00C61852">
        <w:t>tworzenia miejsc pracy</w:t>
      </w:r>
      <w:r>
        <w:t xml:space="preserve"> w sektorze</w:t>
      </w:r>
      <w:r w:rsidRPr="00C61852">
        <w:t>,</w:t>
      </w:r>
      <w:r>
        <w:t xml:space="preserve"> a dodatkowo będzie </w:t>
      </w:r>
      <w:r w:rsidRPr="00C61852">
        <w:t>przeciwdziała</w:t>
      </w:r>
      <w:r>
        <w:t>ć</w:t>
      </w:r>
      <w:r w:rsidRPr="00C61852">
        <w:t xml:space="preserve"> wykluczeniu społecz</w:t>
      </w:r>
      <w:r>
        <w:t xml:space="preserve">nemu poprzez </w:t>
      </w:r>
      <w:r w:rsidRPr="00C61852">
        <w:t xml:space="preserve"> </w:t>
      </w:r>
      <w:r>
        <w:t xml:space="preserve">usługi </w:t>
      </w:r>
      <w:r w:rsidRPr="00C61852">
        <w:t>integracj</w:t>
      </w:r>
      <w:r>
        <w:t>i</w:t>
      </w:r>
      <w:r w:rsidRPr="00C61852">
        <w:t xml:space="preserve"> społeczn</w:t>
      </w:r>
      <w:r>
        <w:t>ej i zawodowej.</w:t>
      </w:r>
    </w:p>
    <w:p w:rsidR="00F35DFF" w:rsidRDefault="00F35DFF" w:rsidP="00F35DFF">
      <w:r>
        <w:t xml:space="preserve">Tak skonstruowana interwencja jest kompletna i uzasadniona. Podstawowe mechanizmy zapewniania jakości wsparcia znalazły się w dokumencie programowym. Jego skuteczność będzie dodatkowo zależeć od sposobu wdrożenia i dalszej koncentracji tematycznej wobec ograniczonych środków. </w:t>
      </w:r>
    </w:p>
    <w:p w:rsidR="00F35DFF" w:rsidRPr="00B24E31" w:rsidRDefault="00F35DFF" w:rsidP="00F35DFF">
      <w:pPr>
        <w:jc w:val="left"/>
        <w:rPr>
          <w:b/>
        </w:rPr>
      </w:pPr>
      <w:r>
        <w:rPr>
          <w:b/>
        </w:rPr>
        <w:t>O</w:t>
      </w:r>
      <w:r w:rsidRPr="00B24E31">
        <w:rPr>
          <w:b/>
        </w:rPr>
        <w:t>ś priorytetowa IX</w:t>
      </w:r>
      <w:r>
        <w:rPr>
          <w:b/>
        </w:rPr>
        <w:t xml:space="preserve">. </w:t>
      </w:r>
      <w:r w:rsidRPr="00560120">
        <w:rPr>
          <w:b/>
          <w:i/>
        </w:rPr>
        <w:t>Jakość edukacji i kompetencji w regionie</w:t>
      </w:r>
    </w:p>
    <w:p w:rsidR="00F35DFF" w:rsidRDefault="00F35DFF" w:rsidP="00F35DFF">
      <w:r>
        <w:t>Interwencja w ramach osi IX koncentrować się będzie na wyrównywaniu szans edukacyjnych oraz dostosowaniu systemu edukacji w regionie do potrzeb rynku pracy i wyzwań przyszłości. Nacisk będzie położony na poprawę dostępu do edukacji przedszkolne</w:t>
      </w:r>
      <w:r w:rsidR="006E50D0">
        <w:t xml:space="preserve">j, poprawę funkcjonowania szkół </w:t>
      </w:r>
      <w:r>
        <w:t>i</w:t>
      </w:r>
      <w:r w:rsidR="006E50D0">
        <w:t> </w:t>
      </w:r>
      <w:r>
        <w:t xml:space="preserve"> placówek edukacyjnych, poprawę funkcjonowania szkolnictwa zawodowego i silniejsze powiązanie go z potrzebami rynku pracy oraz upowszechnienie kształcenia ustawicznego. Tak zdefiniowane cele odpowiadają na potrzeby regionu, w tym szczególnie w zakresie poprawy jakości uczenia oraz lepszego dopasowania jego efektów do potrzeb rynku pracy. Zaplanowane działania mogą przyczynić się do osiągnięcia tych celów. Dotyczy to szczególnie upowszechnienia edukacji przedszkolnej, do której dostęp w województwie jest nadal zbyt niski. Ważnym elementem będą również działania zmierzające do poprawy efektów uczenia się dzieci i młodzieży. Proponowane instrumenty, takie jak np. poprawa kompetencji nauczycieli czy też warunków nauczania mogą przyczynić się do poprawy sytuacji. Szczególnie istotne jest to w odniesieniu do szkolnictwa zawodowego, które jest niedofinansowane i mało atrakcyjne, choć równocześnie pracodawcy zgłaszają zapotrzebowanie na dobrze przygotowanych pracowników. Sam zakres interwencji przewidzianej w programie nie budzi kontrowersji, jednak dla zwiększenia jej efektywności duże znaczenie będzie miała koncentracja na rozwiązaniu kluczowych problemów i wykorzystaniu najważniejszych potencjałów rozwojowych.</w:t>
      </w:r>
    </w:p>
    <w:p w:rsidR="00F35DFF" w:rsidRPr="00B24E31" w:rsidRDefault="00F35DFF" w:rsidP="00F35DFF">
      <w:pPr>
        <w:jc w:val="left"/>
        <w:rPr>
          <w:b/>
        </w:rPr>
      </w:pPr>
      <w:r>
        <w:rPr>
          <w:b/>
        </w:rPr>
        <w:t>S</w:t>
      </w:r>
      <w:r w:rsidRPr="00B24E31">
        <w:rPr>
          <w:b/>
        </w:rPr>
        <w:t>ystem realizacji</w:t>
      </w:r>
    </w:p>
    <w:p w:rsidR="00F35DFF" w:rsidRPr="00B24E31" w:rsidRDefault="00F35DFF" w:rsidP="00F35DFF">
      <w:r w:rsidRPr="00B24E31">
        <w:t>Jednym z kluczowych elementów systemu realizacji jest potencjał i</w:t>
      </w:r>
      <w:r>
        <w:t>nstytucjonalny zaangażowanych w </w:t>
      </w:r>
      <w:r w:rsidRPr="00B24E31">
        <w:t xml:space="preserve">realizację programu instytucji. Biorąc pod uwagę dotychczasowe doświadczenia, należy ocenić, że zaproponowana struktura, w ramach której funkcjonuje jedna silna IZ, a dodatkowo jedna instytucja pośrednicząca (WUP) może być oceniona pozytywnie. Istnieje jednak potrzeba wdrożenia mechanizmów, które ułatwią komunikację oraz koordynację działań pomiędzy kluczowymi aktorami. Pilnego dookreślenia wymaga również rola WUP w systemie instytucjonalnym. </w:t>
      </w:r>
    </w:p>
    <w:p w:rsidR="00F35DFF" w:rsidRPr="00B24E31" w:rsidRDefault="00F35DFF" w:rsidP="00F35DFF">
      <w:r w:rsidRPr="00B24E31">
        <w:t xml:space="preserve">Oceniając system instytucjonalny należy zwrócić uwagę na przygotowanie pracowników. Atutem jest ich doświadczenie i kompetencje, jednak aktualny poziom inwestycji w ich rozwój jest dalece </w:t>
      </w:r>
      <w:r w:rsidRPr="00B24E31">
        <w:lastRenderedPageBreak/>
        <w:t xml:space="preserve">niewystarczający. Dlatego też wzmocnienia wymaga prowadzona w urzędzie polityka rozwoju zasobów ludzkich. </w:t>
      </w:r>
    </w:p>
    <w:p w:rsidR="00F35DFF" w:rsidRPr="00B24E31" w:rsidRDefault="00F35DFF" w:rsidP="00F35DFF">
      <w:r w:rsidRPr="00B24E31">
        <w:t>W związku z większym naciskiem na rezultaty, istnieje potrzeba w</w:t>
      </w:r>
      <w:r>
        <w:t>zmocnienia systemów ewaluacji i </w:t>
      </w:r>
      <w:r w:rsidRPr="00B24E31">
        <w:t xml:space="preserve">monitoring, zarówno w kontekście liczby osób, jak i ich przygotowania. W odniesieniu do systemu monitorowania wskazane jest wdrożenie mechanizmów zapewniania wysokiej jakości danych. </w:t>
      </w:r>
    </w:p>
    <w:p w:rsidR="00F35DFF" w:rsidRDefault="00F35DFF" w:rsidP="00F35DFF">
      <w:r w:rsidRPr="00B24E31">
        <w:t>W ramach badania ocenie poddano również propozycje uproszczeń dla beneficjentów. W programie uwzględniono głównie uproszczenia przewidziane w UP. Wskazane jest wprowadzenie dalszych uproszczeń, w tym m.in. dbałość o klarowność instrukcji i dokumentów programowych, ograniczenie częstotliwości zmian dokumentów, wprowadzenie mechanizmów oceniających wpływ istniejących i</w:t>
      </w:r>
      <w:r>
        <w:t> </w:t>
      </w:r>
      <w:r w:rsidRPr="00B24E31">
        <w:t>nowych rozwiązań na poziom obciążeń administracyjnych beneficjentów, koordynacja kontroli, wdrożenie zasady proporcjonalności.</w:t>
      </w:r>
    </w:p>
    <w:p w:rsidR="00B24E31" w:rsidRDefault="00B24E31" w:rsidP="00B24E31">
      <w:pPr>
        <w:rPr>
          <w:rFonts w:asciiTheme="majorHAnsi" w:eastAsiaTheme="majorEastAsia" w:hAnsiTheme="majorHAnsi" w:cstheme="majorBidi"/>
          <w:b/>
          <w:bCs/>
          <w:color w:val="28476D" w:themeColor="accent1" w:themeShade="BF"/>
          <w:sz w:val="28"/>
          <w:szCs w:val="28"/>
        </w:rPr>
      </w:pPr>
      <w:r>
        <w:br w:type="page"/>
      </w:r>
    </w:p>
    <w:p w:rsidR="0092245E" w:rsidRDefault="00102EA9" w:rsidP="00230E9D">
      <w:pPr>
        <w:pStyle w:val="Nagwek1"/>
      </w:pPr>
      <w:bookmarkStart w:id="2" w:name="_Toc384914395"/>
      <w:r w:rsidRPr="00102EA9">
        <w:lastRenderedPageBreak/>
        <w:t>Wprowadzenie</w:t>
      </w:r>
      <w:bookmarkEnd w:id="2"/>
    </w:p>
    <w:p w:rsidR="004C2845" w:rsidRDefault="004C2845" w:rsidP="004C2845">
      <w:pPr>
        <w:jc w:val="left"/>
      </w:pPr>
    </w:p>
    <w:p w:rsidR="004C2845" w:rsidRDefault="004C2845" w:rsidP="004C2845">
      <w:r>
        <w:t xml:space="preserve">Raport jest podsumowaniem ewaluacji </w:t>
      </w:r>
      <w:proofErr w:type="spellStart"/>
      <w:r>
        <w:t>ex-ante</w:t>
      </w:r>
      <w:proofErr w:type="spellEnd"/>
      <w:r>
        <w:t xml:space="preserve"> </w:t>
      </w:r>
      <w:r w:rsidRPr="00A53102">
        <w:rPr>
          <w:i/>
        </w:rPr>
        <w:t>Regionalnego Programu Operacyjnego Województwa Podkarpackiego na lata 2014-2020</w:t>
      </w:r>
      <w:r>
        <w:t xml:space="preserve">. Przedstawione wnioski przygotowano na podstawie własnych analiz zespołu, obejmujących przegląd dostępnych dokumentów źródłowych i strategicznych oraz przy zastosowaniu technik jakościowych, tj. m.in. wywiady i warsztaty z autorami programu oraz jego najważniejszymi </w:t>
      </w:r>
      <w:proofErr w:type="spellStart"/>
      <w:r>
        <w:t>interesariuszami</w:t>
      </w:r>
      <w:proofErr w:type="spellEnd"/>
      <w:r>
        <w:t xml:space="preserve">, </w:t>
      </w:r>
      <w:r w:rsidR="00A53102">
        <w:t xml:space="preserve">warsztaty </w:t>
      </w:r>
      <w:r>
        <w:t xml:space="preserve">dotyczące logiki interwencji w ramach poszczególnych osi priorytetowych, wymiaru terytorialnego oraz wybranych elementów systemu wdrożeniowego. </w:t>
      </w:r>
    </w:p>
    <w:p w:rsidR="004C2845" w:rsidRDefault="004C2845" w:rsidP="004C2845"/>
    <w:p w:rsidR="004C2845" w:rsidRDefault="004C2845" w:rsidP="004C2845">
      <w:r>
        <w:t>Badanie przeprowadzono w trybie partycypacyjnym. Zespół badawczy na bieżąco współpracował z autorami programu oraz systematycznie opiniował kolejne części ocenianego dokumentu – w raporcie przedstawiono najważniejsze zmiany, które były wynikiem rekomendacji wypracowanych w toku ewaluacji.</w:t>
      </w:r>
    </w:p>
    <w:p w:rsidR="004C2845" w:rsidRDefault="004C2845" w:rsidP="004C2845"/>
    <w:p w:rsidR="004C2845" w:rsidRDefault="00A53102" w:rsidP="004C2845">
      <w:r>
        <w:t>W pierwszej części opracowania zawarto</w:t>
      </w:r>
      <w:r w:rsidR="004C2845">
        <w:t xml:space="preserve"> </w:t>
      </w:r>
      <w:r w:rsidR="00A0772B">
        <w:t xml:space="preserve">przegląd </w:t>
      </w:r>
      <w:r w:rsidR="004C2845">
        <w:t>założeń metodycznych analizy (rozdział 2). Właściwa ocena rozpoczyna się od rozdziału 3, w którym zaprezentowano najważniejsze elementy ewaluacji na poziomie całego programu związane m.in. z koncentracją tematyczną interwencji, szacunkowym oddziaływaniem makroekonomicznym oraz wymiarem teryto</w:t>
      </w:r>
      <w:r>
        <w:t>rialnym interwencji. Szczegółową ocenę</w:t>
      </w:r>
      <w:r w:rsidR="004C2845">
        <w:t xml:space="preserve"> celów i działań przewidzianych do realizacji przedstawiono w rozdziale 4, gdzie logikę interwencji poddano weryfikacji z punktu widzenia dopasowania do potrzeb rozwojowych regionu, wewnętrznej spójności logicznej (także w kontekście dostępnych doświadczeń nt. interwencji publicznej), a także potencjalnego wkładu w realizację regionalnych, krajowych i europejskich celów strategiczne. W ostatniej części raportu (rozdział 5) znajduję się wstępna ocena systemu realizacji programu. </w:t>
      </w:r>
    </w:p>
    <w:p w:rsidR="004C2845" w:rsidRDefault="004C2845" w:rsidP="004C2845"/>
    <w:p w:rsidR="00E015F3" w:rsidRDefault="00E015F3">
      <w:pPr>
        <w:jc w:val="left"/>
      </w:pPr>
      <w:r>
        <w:br w:type="page"/>
      </w:r>
    </w:p>
    <w:p w:rsidR="00FD5E31" w:rsidRDefault="00FD5E31" w:rsidP="00FD5E31">
      <w:pPr>
        <w:pStyle w:val="Legenda"/>
        <w:keepNext/>
      </w:pPr>
      <w:r>
        <w:lastRenderedPageBreak/>
        <w:t xml:space="preserve">Tabela </w:t>
      </w:r>
      <w:fldSimple w:instr=" SEQ Tabela \* ARABIC ">
        <w:r w:rsidR="00832320">
          <w:rPr>
            <w:noProof/>
          </w:rPr>
          <w:t>1</w:t>
        </w:r>
      </w:fldSimple>
      <w:r w:rsidR="00FD5DD2">
        <w:rPr>
          <w:noProof/>
        </w:rPr>
        <w:t>.</w:t>
      </w:r>
      <w:r>
        <w:t xml:space="preserve"> O</w:t>
      </w:r>
      <w:r w:rsidRPr="00FD5E31">
        <w:t>bowiązk</w:t>
      </w:r>
      <w:r>
        <w:t>owe element</w:t>
      </w:r>
      <w:r w:rsidR="00191F7F">
        <w:t>y</w:t>
      </w:r>
      <w:r>
        <w:t xml:space="preserve"> oceny </w:t>
      </w:r>
      <w:proofErr w:type="spellStart"/>
      <w:r>
        <w:t>ex-ante</w:t>
      </w:r>
      <w:proofErr w:type="spellEnd"/>
      <w:r>
        <w:t xml:space="preserve"> </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A0"/>
      </w:tblPr>
      <w:tblGrid>
        <w:gridCol w:w="7338"/>
        <w:gridCol w:w="1874"/>
      </w:tblGrid>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DBE5F1"/>
            <w:vAlign w:val="center"/>
            <w:hideMark/>
          </w:tcPr>
          <w:p w:rsidR="00E015F3" w:rsidRDefault="00E015F3" w:rsidP="00EE1F82">
            <w:pPr>
              <w:spacing w:before="20" w:after="20"/>
              <w:jc w:val="center"/>
              <w:rPr>
                <w:b/>
                <w:sz w:val="20"/>
                <w:szCs w:val="20"/>
              </w:rPr>
            </w:pPr>
            <w:r>
              <w:rPr>
                <w:b/>
                <w:sz w:val="20"/>
                <w:szCs w:val="20"/>
              </w:rPr>
              <w:t xml:space="preserve">obowiązkowe element oceny </w:t>
            </w:r>
            <w:proofErr w:type="spellStart"/>
            <w:r>
              <w:rPr>
                <w:b/>
                <w:sz w:val="20"/>
                <w:szCs w:val="20"/>
              </w:rPr>
              <w:t>ex-ante</w:t>
            </w:r>
            <w:proofErr w:type="spellEnd"/>
            <w:r>
              <w:rPr>
                <w:b/>
                <w:sz w:val="20"/>
                <w:szCs w:val="20"/>
              </w:rPr>
              <w:t xml:space="preserve"> zgodnie z art. 55 projektu CPR</w:t>
            </w:r>
          </w:p>
        </w:tc>
        <w:tc>
          <w:tcPr>
            <w:tcW w:w="1874" w:type="dxa"/>
            <w:tcBorders>
              <w:top w:val="single" w:sz="4" w:space="0" w:color="BFBFBF"/>
              <w:left w:val="single" w:sz="4" w:space="0" w:color="BFBFBF"/>
              <w:bottom w:val="single" w:sz="4" w:space="0" w:color="BFBFBF"/>
              <w:right w:val="single" w:sz="4" w:space="0" w:color="BFBFBF"/>
            </w:tcBorders>
            <w:shd w:val="clear" w:color="auto" w:fill="DBE5F1"/>
            <w:vAlign w:val="center"/>
            <w:hideMark/>
          </w:tcPr>
          <w:p w:rsidR="00E015F3" w:rsidRDefault="00E015F3" w:rsidP="00EE1F82">
            <w:pPr>
              <w:spacing w:before="20" w:after="20"/>
              <w:jc w:val="center"/>
              <w:rPr>
                <w:b/>
                <w:noProof/>
                <w:sz w:val="20"/>
                <w:szCs w:val="20"/>
                <w:lang w:val="en-US"/>
              </w:rPr>
            </w:pPr>
            <w:r>
              <w:rPr>
                <w:b/>
                <w:noProof/>
                <w:sz w:val="20"/>
                <w:szCs w:val="20"/>
                <w:lang w:val="en-US"/>
              </w:rPr>
              <w:t>umiejscowienie w raporcie</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i/>
                <w:noProof/>
                <w:sz w:val="20"/>
                <w:szCs w:val="20"/>
              </w:rPr>
            </w:pPr>
            <w:r w:rsidRPr="00EE1F82">
              <w:rPr>
                <w:rFonts w:cs="Arial"/>
                <w:i/>
                <w:noProof/>
                <w:sz w:val="20"/>
                <w:szCs w:val="20"/>
              </w:rPr>
              <w:t>wkład w realizację unijnej strategii na rzecz inteligentnego, zrównoważonego wzrostu sprzyjającego włączeniu społecznemu, przy uwzględnieniu wybranych celów tematycznych i priorytetów oraz potrzeb krajowych i regionalnych i potencjału dla rozwoju oraz doświadczeń zdobytych podczas wcześniejszych okresów programowania</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4</w:t>
            </w:r>
            <w:r w:rsidR="00E015F3" w:rsidRPr="00EE1F82">
              <w:rPr>
                <w:noProof/>
                <w:sz w:val="20"/>
                <w:szCs w:val="20"/>
                <w:lang w:val="en-US"/>
              </w:rPr>
              <w:t>.X</w:t>
            </w:r>
            <w:r w:rsidR="00E015F3" w:rsidRPr="00EE1F82">
              <w:rPr>
                <w:rStyle w:val="Odwoanieprzypisudolnego"/>
                <w:noProof/>
                <w:sz w:val="20"/>
                <w:szCs w:val="20"/>
                <w:lang w:val="en-US"/>
              </w:rPr>
              <w:footnoteReference w:id="1"/>
            </w:r>
            <w:r w:rsidRPr="00EE1F82">
              <w:rPr>
                <w:noProof/>
                <w:sz w:val="20"/>
                <w:szCs w:val="20"/>
                <w:lang w:val="en-US"/>
              </w:rPr>
              <w:t>.4</w:t>
            </w:r>
          </w:p>
          <w:p w:rsidR="00EE1F82" w:rsidRPr="00EE1F82" w:rsidRDefault="00EE1F82" w:rsidP="00EE1F82">
            <w:pPr>
              <w:spacing w:before="20" w:after="20"/>
              <w:jc w:val="center"/>
              <w:rPr>
                <w:noProof/>
                <w:sz w:val="20"/>
                <w:szCs w:val="20"/>
                <w:lang w:val="en-US"/>
              </w:rPr>
            </w:pPr>
            <w:r w:rsidRPr="00EE1F82">
              <w:rPr>
                <w:noProof/>
                <w:sz w:val="20"/>
                <w:szCs w:val="20"/>
                <w:lang w:val="en-US"/>
              </w:rPr>
              <w:t>3.2</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i/>
                <w:noProof/>
                <w:sz w:val="20"/>
                <w:szCs w:val="20"/>
              </w:rPr>
            </w:pPr>
            <w:r w:rsidRPr="00EE1F82">
              <w:rPr>
                <w:rFonts w:cs="Arial"/>
                <w:i/>
                <w:noProof/>
                <w:sz w:val="20"/>
                <w:szCs w:val="20"/>
              </w:rPr>
              <w:t>spójność wewnętrzna proponowanego programu lub przedsięwzięcia i jego związku z innymi istotnymi instrumentami</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3.1, 3.3</w:t>
            </w:r>
          </w:p>
          <w:p w:rsidR="00EE1F82" w:rsidRPr="00EE1F82" w:rsidRDefault="00EE1F82" w:rsidP="00EE1F82">
            <w:pPr>
              <w:spacing w:before="20" w:after="20"/>
              <w:jc w:val="center"/>
              <w:rPr>
                <w:noProof/>
                <w:sz w:val="20"/>
                <w:szCs w:val="20"/>
                <w:lang w:val="en-US"/>
              </w:rPr>
            </w:pPr>
            <w:r w:rsidRPr="00EE1F82">
              <w:rPr>
                <w:noProof/>
                <w:sz w:val="20"/>
                <w:szCs w:val="20"/>
                <w:lang w:val="en-US"/>
              </w:rPr>
              <w:t>4.X.2</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i/>
                <w:noProof/>
                <w:sz w:val="20"/>
                <w:szCs w:val="20"/>
              </w:rPr>
            </w:pPr>
            <w:r w:rsidRPr="00EE1F82">
              <w:rPr>
                <w:rFonts w:cs="Arial"/>
                <w:i/>
                <w:noProof/>
                <w:sz w:val="20"/>
                <w:szCs w:val="20"/>
              </w:rPr>
              <w:t>spójność alokacji środków budżetowych z celami programu</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sz w:val="20"/>
                <w:szCs w:val="20"/>
                <w:lang w:val="en-US"/>
              </w:rPr>
              <w:t>3.1</w:t>
            </w:r>
          </w:p>
          <w:p w:rsidR="00EE1F82" w:rsidRPr="00EE1F82" w:rsidRDefault="00EE1F82" w:rsidP="00EE1F82">
            <w:pPr>
              <w:spacing w:before="20" w:after="20"/>
              <w:jc w:val="center"/>
              <w:rPr>
                <w:sz w:val="20"/>
                <w:szCs w:val="20"/>
                <w:lang w:val="en-US"/>
              </w:rPr>
            </w:pPr>
            <w:r w:rsidRPr="00EE1F82">
              <w:rPr>
                <w:noProof/>
                <w:sz w:val="20"/>
                <w:szCs w:val="20"/>
                <w:lang w:val="en-US"/>
              </w:rPr>
              <w:t>4.X.2</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bCs/>
                <w:i/>
                <w:sz w:val="20"/>
                <w:szCs w:val="20"/>
              </w:rPr>
            </w:pPr>
            <w:r w:rsidRPr="00EE1F82">
              <w:rPr>
                <w:rFonts w:cs="Arial"/>
                <w:bCs/>
                <w:i/>
                <w:sz w:val="20"/>
                <w:szCs w:val="20"/>
              </w:rPr>
              <w:t>spójność wybranych celów tematycznych, priorytetów i odpowiadających im celów programów ze WRS, umową partnerstwa oraz stosownymi zaleceniami dla poszczególnych państw przyjętymi na podstawie art. 121 ust. 2 TFUE jak też w stosownych przypadkach dla poziomu krajowego, z krajowym programem reform</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4.X.4</w:t>
            </w:r>
          </w:p>
        </w:tc>
      </w:tr>
      <w:tr w:rsidR="00E015F3" w:rsidTr="00EE1F82">
        <w:trPr>
          <w:trHeight w:val="134"/>
        </w:trPr>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i/>
                <w:noProof/>
                <w:sz w:val="20"/>
                <w:szCs w:val="20"/>
              </w:rPr>
            </w:pPr>
            <w:r w:rsidRPr="00EE1F82">
              <w:rPr>
                <w:rFonts w:cs="Arial"/>
                <w:i/>
                <w:noProof/>
                <w:sz w:val="20"/>
                <w:szCs w:val="20"/>
              </w:rPr>
              <w:t>adekwatność i przejrzystości proponowanych wskaźników specyficznych dla programu</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noProof/>
                <w:sz w:val="20"/>
                <w:szCs w:val="20"/>
                <w:lang w:val="en-US"/>
              </w:rPr>
              <w:t>4.X.3</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rPr>
            </w:pPr>
            <w:r w:rsidRPr="00EE1F82">
              <w:rPr>
                <w:rFonts w:cs="Arial"/>
                <w:i/>
                <w:noProof/>
                <w:sz w:val="20"/>
                <w:szCs w:val="20"/>
              </w:rPr>
              <w:t>sposób, w jaki oczekiwane produkty przyczynią się do osiągnięcia rezultatów</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4.X.2</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rPr>
            </w:pPr>
            <w:r w:rsidRPr="00EE1F82">
              <w:rPr>
                <w:rFonts w:cs="Arial"/>
                <w:i/>
                <w:noProof/>
                <w:sz w:val="20"/>
                <w:szCs w:val="20"/>
              </w:rPr>
              <w:t>czy wartości docelowe wskaźników ujęte ilościowo są realistyczne biorąc pod uwagę wartość przewidywanego wsparcia z EFSI</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noProof/>
                <w:sz w:val="20"/>
                <w:szCs w:val="20"/>
                <w:lang w:val="en-US"/>
              </w:rPr>
              <w:t>4.X.3</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lang w:val="en-US"/>
              </w:rPr>
            </w:pPr>
            <w:r w:rsidRPr="00EE1F82">
              <w:rPr>
                <w:rFonts w:cs="Arial"/>
                <w:i/>
                <w:noProof/>
                <w:sz w:val="20"/>
                <w:szCs w:val="20"/>
                <w:lang w:val="en-US"/>
              </w:rPr>
              <w:t>uzasadnienie proponowanej formy wsparcia</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4.X.2</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rPr>
            </w:pPr>
            <w:r w:rsidRPr="00EE1F82">
              <w:rPr>
                <w:rFonts w:cs="Arial"/>
                <w:i/>
                <w:noProof/>
                <w:sz w:val="20"/>
                <w:szCs w:val="20"/>
              </w:rPr>
              <w:t>adekwatność zasobów ludzkich oraz zdolności administracyjnych do zarządzania programem</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sz w:val="20"/>
                <w:szCs w:val="20"/>
                <w:lang w:val="en-US"/>
              </w:rPr>
              <w:t>5</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i/>
                <w:noProof/>
                <w:sz w:val="20"/>
                <w:szCs w:val="20"/>
              </w:rPr>
            </w:pPr>
            <w:r w:rsidRPr="00EE1F82">
              <w:rPr>
                <w:rFonts w:cs="Arial"/>
                <w:i/>
                <w:noProof/>
                <w:sz w:val="20"/>
                <w:szCs w:val="20"/>
              </w:rPr>
              <w:t>odpowiedniość procedur monitorowania programu oraz gromadzenia danych koniecznych do przeprowadzenia ewaluacji</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sz w:val="20"/>
                <w:szCs w:val="20"/>
                <w:lang w:val="en-US"/>
              </w:rPr>
              <w:t>5</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rPr>
            </w:pPr>
            <w:r w:rsidRPr="00EE1F82">
              <w:rPr>
                <w:rFonts w:cs="Arial"/>
                <w:i/>
                <w:noProof/>
                <w:sz w:val="20"/>
                <w:szCs w:val="20"/>
              </w:rPr>
              <w:t>odpowiedniość celów pośrednich wybranych na potrzeby ram wykonania</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noProof/>
                <w:sz w:val="20"/>
                <w:szCs w:val="20"/>
                <w:lang w:val="en-US"/>
              </w:rPr>
            </w:pPr>
            <w:r w:rsidRPr="00EE1F82">
              <w:rPr>
                <w:noProof/>
                <w:sz w:val="20"/>
                <w:szCs w:val="20"/>
                <w:lang w:val="en-US"/>
              </w:rPr>
              <w:t>4.X.3</w:t>
            </w: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spacing w:before="20" w:after="20" w:line="240" w:lineRule="auto"/>
              <w:jc w:val="center"/>
              <w:rPr>
                <w:rFonts w:cs="Arial"/>
                <w:bCs/>
                <w:i/>
                <w:iCs/>
                <w:noProof/>
                <w:sz w:val="20"/>
                <w:szCs w:val="20"/>
              </w:rPr>
            </w:pPr>
            <w:r w:rsidRPr="00EE1F82">
              <w:rPr>
                <w:rFonts w:cs="Arial"/>
                <w:bCs/>
                <w:i/>
                <w:iCs/>
                <w:noProof/>
                <w:sz w:val="20"/>
                <w:szCs w:val="20"/>
              </w:rPr>
              <w:t>adekwatność  planowanych działań mających na celu promowanie równości szans kobiet i mężczyzn oraz zapobieganie wszelkim formom dyskryminacji; w szczególności w odniesieniu do dostępności dla osób z niepełnosprawnościami</w:t>
            </w:r>
          </w:p>
        </w:tc>
        <w:tc>
          <w:tcPr>
            <w:tcW w:w="1874" w:type="dxa"/>
            <w:vMerge w:val="restart"/>
            <w:tcBorders>
              <w:top w:val="single" w:sz="4" w:space="0" w:color="BFBFBF"/>
              <w:left w:val="single" w:sz="4" w:space="0" w:color="BFBFBF"/>
              <w:bottom w:val="single" w:sz="4" w:space="0" w:color="BFBFBF"/>
              <w:right w:val="single" w:sz="4" w:space="0" w:color="BFBFBF"/>
            </w:tcBorders>
            <w:vAlign w:val="center"/>
            <w:hideMark/>
          </w:tcPr>
          <w:p w:rsidR="00EE1F82" w:rsidRPr="00EE1F82" w:rsidRDefault="00EE1F82" w:rsidP="00EE1F82">
            <w:pPr>
              <w:spacing w:before="20" w:after="20"/>
              <w:jc w:val="center"/>
              <w:rPr>
                <w:noProof/>
                <w:sz w:val="20"/>
                <w:szCs w:val="20"/>
                <w:lang w:val="en-US"/>
              </w:rPr>
            </w:pPr>
            <w:r w:rsidRPr="00EE1F82">
              <w:rPr>
                <w:noProof/>
                <w:sz w:val="20"/>
                <w:szCs w:val="20"/>
                <w:lang w:val="en-US"/>
              </w:rPr>
              <w:t>4.X.4</w:t>
            </w:r>
          </w:p>
          <w:p w:rsidR="00E015F3" w:rsidRPr="00EE1F82" w:rsidRDefault="00E015F3" w:rsidP="00EE1F82">
            <w:pPr>
              <w:spacing w:before="20" w:after="20"/>
              <w:jc w:val="center"/>
              <w:rPr>
                <w:sz w:val="20"/>
                <w:szCs w:val="20"/>
              </w:rPr>
            </w:pP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i/>
                <w:noProof/>
                <w:sz w:val="20"/>
                <w:szCs w:val="20"/>
              </w:rPr>
            </w:pPr>
            <w:r w:rsidRPr="00EE1F82">
              <w:rPr>
                <w:rFonts w:cs="Arial"/>
                <w:i/>
                <w:noProof/>
                <w:sz w:val="20"/>
                <w:szCs w:val="20"/>
              </w:rPr>
              <w:t>adekwatność planowanych działań mających na celu promowanie zrównoważonego rozwoju</w:t>
            </w:r>
          </w:p>
        </w:tc>
        <w:tc>
          <w:tcPr>
            <w:tcW w:w="1874" w:type="dxa"/>
            <w:vMerge/>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015F3" w:rsidP="00EE1F82">
            <w:pPr>
              <w:spacing w:before="20" w:after="20" w:line="240" w:lineRule="auto"/>
              <w:jc w:val="center"/>
              <w:rPr>
                <w:sz w:val="20"/>
                <w:szCs w:val="20"/>
              </w:rPr>
            </w:pPr>
          </w:p>
        </w:tc>
      </w:tr>
      <w:tr w:rsidR="00E015F3" w:rsidTr="00EE1F82">
        <w:tc>
          <w:tcPr>
            <w:tcW w:w="7338" w:type="dxa"/>
            <w:tcBorders>
              <w:top w:val="single" w:sz="4" w:space="0" w:color="BFBFBF"/>
              <w:left w:val="single" w:sz="4" w:space="0" w:color="BFBFBF"/>
              <w:bottom w:val="single" w:sz="4" w:space="0" w:color="BFBFBF"/>
              <w:right w:val="single" w:sz="4" w:space="0" w:color="BFBFBF"/>
            </w:tcBorders>
            <w:shd w:val="clear" w:color="auto" w:fill="E6E6E6"/>
            <w:vAlign w:val="center"/>
            <w:hideMark/>
          </w:tcPr>
          <w:p w:rsidR="00E015F3" w:rsidRPr="00EE1F82" w:rsidRDefault="00E015F3" w:rsidP="00EE1F82">
            <w:pPr>
              <w:keepNext/>
              <w:widowControl w:val="0"/>
              <w:tabs>
                <w:tab w:val="left" w:pos="324"/>
              </w:tabs>
              <w:spacing w:before="20" w:after="20" w:line="240" w:lineRule="auto"/>
              <w:jc w:val="center"/>
              <w:rPr>
                <w:rFonts w:cs="Arial"/>
                <w:bCs/>
                <w:i/>
                <w:sz w:val="20"/>
                <w:szCs w:val="20"/>
              </w:rPr>
            </w:pPr>
            <w:r w:rsidRPr="00EE1F82">
              <w:rPr>
                <w:rFonts w:cs="Arial"/>
                <w:bCs/>
                <w:i/>
                <w:sz w:val="20"/>
                <w:szCs w:val="20"/>
              </w:rPr>
              <w:t>działania planowane w celu zmniejszenia obciążeń administracyjnych dla beneficjentów</w:t>
            </w:r>
          </w:p>
        </w:tc>
        <w:tc>
          <w:tcPr>
            <w:tcW w:w="1874" w:type="dxa"/>
            <w:tcBorders>
              <w:top w:val="single" w:sz="4" w:space="0" w:color="BFBFBF"/>
              <w:left w:val="single" w:sz="4" w:space="0" w:color="BFBFBF"/>
              <w:bottom w:val="single" w:sz="4" w:space="0" w:color="BFBFBF"/>
              <w:right w:val="single" w:sz="4" w:space="0" w:color="BFBFBF"/>
            </w:tcBorders>
            <w:vAlign w:val="center"/>
            <w:hideMark/>
          </w:tcPr>
          <w:p w:rsidR="00E015F3" w:rsidRPr="00EE1F82" w:rsidRDefault="00EE1F82" w:rsidP="00EE1F82">
            <w:pPr>
              <w:spacing w:before="20" w:after="20"/>
              <w:jc w:val="center"/>
              <w:rPr>
                <w:sz w:val="20"/>
                <w:szCs w:val="20"/>
                <w:lang w:val="en-US"/>
              </w:rPr>
            </w:pPr>
            <w:r w:rsidRPr="00EE1F82">
              <w:rPr>
                <w:sz w:val="20"/>
                <w:szCs w:val="20"/>
                <w:lang w:val="en-US"/>
              </w:rPr>
              <w:t>5</w:t>
            </w:r>
          </w:p>
        </w:tc>
      </w:tr>
    </w:tbl>
    <w:p w:rsidR="0092245E" w:rsidRDefault="00FD5E31" w:rsidP="00FD5E31">
      <w:pPr>
        <w:pStyle w:val="rdo"/>
      </w:pPr>
      <w:r>
        <w:t>Źródło: Opracowanie własne na podstawie  art. 55 projektu CPR</w:t>
      </w:r>
      <w:r w:rsidR="0092245E">
        <w:br w:type="page"/>
      </w:r>
    </w:p>
    <w:p w:rsidR="0092245E" w:rsidRDefault="0092245E" w:rsidP="0092245E">
      <w:pPr>
        <w:pStyle w:val="Nagwek1"/>
      </w:pPr>
      <w:bookmarkStart w:id="3" w:name="_Toc384914396"/>
      <w:r>
        <w:lastRenderedPageBreak/>
        <w:t>Zakres i metodologia badania</w:t>
      </w:r>
      <w:bookmarkEnd w:id="3"/>
    </w:p>
    <w:p w:rsidR="00B07813" w:rsidRPr="007B74A8" w:rsidRDefault="00B10955" w:rsidP="0092245E">
      <w:r>
        <w:t xml:space="preserve">Założenia ewaluacji </w:t>
      </w:r>
      <w:proofErr w:type="spellStart"/>
      <w:r>
        <w:t>ex-ante</w:t>
      </w:r>
      <w:proofErr w:type="spellEnd"/>
      <w:r>
        <w:t xml:space="preserve"> projektu RPO WP 2014-2020 zostały opracowane na podstawie wytycznych Ministerstwa Rozwoju Regionalnego i opierały się na podejściu nazywanym </w:t>
      </w:r>
      <w:r w:rsidR="007B74A8">
        <w:t xml:space="preserve">w </w:t>
      </w:r>
      <w:r>
        <w:t xml:space="preserve">literaturze </w:t>
      </w:r>
      <w:r w:rsidR="00FF5AC6">
        <w:t>przedmiotu ewaluacją wspieraną teorią (EWT). Badanie składało się z pięciu wzajemnie się uzupełniających modułó</w:t>
      </w:r>
      <w:r w:rsidR="0037682B">
        <w:t xml:space="preserve">w – z uwagi na partycypacyjny model badania, poszczególne modułu realizowane były </w:t>
      </w:r>
      <w:r w:rsidR="00D76967">
        <w:t>w sposób iteracyjny w ścisłej współpracy z autorami programu</w:t>
      </w:r>
      <w:r w:rsidR="0037682B">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0"/>
      </w:tblGrid>
      <w:tr w:rsidR="00B07813" w:rsidTr="000E06F8">
        <w:tc>
          <w:tcPr>
            <w:tcW w:w="9210" w:type="dxa"/>
          </w:tcPr>
          <w:p w:rsidR="00B07813" w:rsidRDefault="00B07813" w:rsidP="00B07813">
            <w:pPr>
              <w:pStyle w:val="Legenda"/>
            </w:pPr>
            <w:r>
              <w:t xml:space="preserve">Schemat </w:t>
            </w:r>
            <w:r w:rsidR="001B04AC">
              <w:fldChar w:fldCharType="begin"/>
            </w:r>
            <w:r w:rsidR="000E06F8">
              <w:instrText xml:space="preserve"> SEQ Schemat \* ARABIC </w:instrText>
            </w:r>
            <w:r w:rsidR="001B04AC">
              <w:fldChar w:fldCharType="separate"/>
            </w:r>
            <w:r w:rsidR="00832320">
              <w:rPr>
                <w:noProof/>
              </w:rPr>
              <w:t>1</w:t>
            </w:r>
            <w:r w:rsidR="001B04AC">
              <w:rPr>
                <w:noProof/>
              </w:rPr>
              <w:fldChar w:fldCharType="end"/>
            </w:r>
            <w:r>
              <w:t>. Zakres badania w podziale na moduły badacze</w:t>
            </w:r>
          </w:p>
        </w:tc>
      </w:tr>
      <w:tr w:rsidR="00B07813" w:rsidTr="007B74A8">
        <w:tc>
          <w:tcPr>
            <w:tcW w:w="9210" w:type="dxa"/>
          </w:tcPr>
          <w:p w:rsidR="00B07813" w:rsidRDefault="00583A83" w:rsidP="000E06F8">
            <w:pPr>
              <w:spacing w:before="120" w:after="120"/>
              <w:jc w:val="center"/>
            </w:pPr>
            <w:r>
              <w:rPr>
                <w:noProof/>
                <w:lang w:eastAsia="pl-PL"/>
              </w:rPr>
              <w:drawing>
                <wp:inline distT="0" distB="0" distL="0" distR="0">
                  <wp:extent cx="5486400" cy="491705"/>
                  <wp:effectExtent l="19050" t="0" r="19050" b="3595"/>
                  <wp:docPr id="32" name="Diagram 5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B07813" w:rsidRDefault="00583A83" w:rsidP="00A3411E">
            <w:pPr>
              <w:spacing w:before="120" w:after="120"/>
              <w:jc w:val="center"/>
            </w:pPr>
            <w:r w:rsidRPr="007B74A8">
              <w:rPr>
                <w:noProof/>
                <w:shd w:val="clear" w:color="auto" w:fill="FFFFFF" w:themeFill="background1"/>
                <w:lang w:eastAsia="pl-PL"/>
              </w:rPr>
              <w:drawing>
                <wp:inline distT="0" distB="0" distL="0" distR="0">
                  <wp:extent cx="5486400" cy="1033670"/>
                  <wp:effectExtent l="19050" t="0" r="19050" b="0"/>
                  <wp:docPr id="33" name="Diagram 5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tc>
      </w:tr>
      <w:tr w:rsidR="00B07813" w:rsidTr="00B10955">
        <w:tc>
          <w:tcPr>
            <w:tcW w:w="9210" w:type="dxa"/>
          </w:tcPr>
          <w:p w:rsidR="00B07813" w:rsidRDefault="00B07813" w:rsidP="000E06F8">
            <w:pPr>
              <w:pStyle w:val="rdo"/>
            </w:pPr>
            <w:r>
              <w:t>Źródło: Opracowanie własne.</w:t>
            </w:r>
          </w:p>
        </w:tc>
      </w:tr>
    </w:tbl>
    <w:p w:rsidR="007B74A8" w:rsidRDefault="007B74A8" w:rsidP="007B74A8">
      <w:pPr>
        <w:pStyle w:val="Akapitzlist"/>
        <w:ind w:left="714"/>
        <w:contextualSpacing w:val="0"/>
      </w:pPr>
    </w:p>
    <w:p w:rsidR="007B74A8" w:rsidRDefault="0037682B" w:rsidP="000965A8">
      <w:pPr>
        <w:pStyle w:val="Akapitzlist"/>
        <w:numPr>
          <w:ilvl w:val="0"/>
          <w:numId w:val="13"/>
        </w:numPr>
        <w:ind w:left="714" w:hanging="357"/>
        <w:contextualSpacing w:val="0"/>
      </w:pPr>
      <w:r>
        <w:t>Wstępny</w:t>
      </w:r>
      <w:r w:rsidR="00FF5AC6" w:rsidRPr="00FF5AC6">
        <w:t xml:space="preserve"> moduł ewaluacji </w:t>
      </w:r>
      <w:r>
        <w:t xml:space="preserve">(moduł 0) </w:t>
      </w:r>
      <w:r w:rsidR="00FF5AC6" w:rsidRPr="00FF5AC6">
        <w:t>sprowadza</w:t>
      </w:r>
      <w:r>
        <w:t>ł</w:t>
      </w:r>
      <w:r w:rsidR="00FF5AC6" w:rsidRPr="00FF5AC6">
        <w:t xml:space="preserve"> się do odtworzenia logiki inte</w:t>
      </w:r>
      <w:r w:rsidR="00D76967">
        <w:t>rwencji (teorii zmiany) zawartej</w:t>
      </w:r>
      <w:r w:rsidR="007B74A8">
        <w:t xml:space="preserve"> w</w:t>
      </w:r>
      <w:r w:rsidR="00D76967">
        <w:t xml:space="preserve"> kolejnych wersjach analizowanego dokumentu</w:t>
      </w:r>
      <w:r w:rsidR="00FF5AC6" w:rsidRPr="00FF5AC6">
        <w:t xml:space="preserve">. Rozpoczęcie prac od tego zadania </w:t>
      </w:r>
      <w:r>
        <w:t>było</w:t>
      </w:r>
      <w:r w:rsidR="00FF5AC6" w:rsidRPr="00FF5AC6">
        <w:t xml:space="preserve"> o tyle istotne, że stworzony w module 0 model logiczny interwencji </w:t>
      </w:r>
      <w:r w:rsidR="00B01ADF">
        <w:t>był</w:t>
      </w:r>
      <w:r w:rsidR="007B74A8">
        <w:t xml:space="preserve"> </w:t>
      </w:r>
      <w:r w:rsidR="00B01ADF">
        <w:t>punktem</w:t>
      </w:r>
      <w:r>
        <w:t xml:space="preserve"> wyjścia</w:t>
      </w:r>
      <w:r w:rsidR="00FF5AC6" w:rsidRPr="00FF5AC6">
        <w:t xml:space="preserve"> do podstawowego elementu ewaluacji – modułu 1, do oceny którego wykorzysta</w:t>
      </w:r>
      <w:r w:rsidR="00D76967">
        <w:t>ne zostały</w:t>
      </w:r>
      <w:r w:rsidR="00FF5AC6" w:rsidRPr="00FF5AC6">
        <w:t xml:space="preserve"> ramy koncepcyjne </w:t>
      </w:r>
      <w:r w:rsidR="00755BE4" w:rsidRPr="00FF5AC6">
        <w:t xml:space="preserve">również </w:t>
      </w:r>
      <w:r w:rsidR="00FF5AC6" w:rsidRPr="00FF5AC6">
        <w:t>stworzone w fazie przygotowawczej.</w:t>
      </w:r>
      <w:r w:rsidR="00D76967">
        <w:t xml:space="preserve"> Kluczowym elementem prac w ramach modułu 0 były warsztaty przeprowadzone z autorami RPO WP 2014-2020, które dotyczyły logiki interwencji zaproponowanej w poszczególnych osiach priorytetowych programu.</w:t>
      </w:r>
    </w:p>
    <w:p w:rsidR="0037682B" w:rsidRDefault="0037682B" w:rsidP="000965A8">
      <w:pPr>
        <w:pStyle w:val="Akapitzlist"/>
        <w:numPr>
          <w:ilvl w:val="0"/>
          <w:numId w:val="13"/>
        </w:numPr>
        <w:ind w:left="714" w:hanging="357"/>
        <w:contextualSpacing w:val="0"/>
      </w:pPr>
      <w:r>
        <w:t>Centralnym elementem badania był moduł 1, w ramach którego zweryfikowano, na ile zaproponowana w RPO WP teoria zmiany odpowiada faktycznym wyzwaniom rozwojowym regionu (pytanie badawcze 1) oraz w jakim stopniu określony w niej pakiet interwencji pozwala na realizację zakładanych celów rozwojowych (pytanie badawcze 2). W ramach</w:t>
      </w:r>
      <w:r w:rsidR="007B74A8">
        <w:t xml:space="preserve"> tego modułu pracowano na modelach</w:t>
      </w:r>
      <w:r>
        <w:t xml:space="preserve"> logicznych opracowanych w module 0, wykorzystano także opracowane wcześniej ramy koncepcyjne (uporządkowaną wiedzę empiryczną i teoretyczną).</w:t>
      </w:r>
      <w:r w:rsidR="007416EA">
        <w:t xml:space="preserve"> Prace w ramach tego etapu były prowadzone w trybie iteracyjnym, także w formie roboczej wymiany uwag pomiędzy autorami p</w:t>
      </w:r>
      <w:r w:rsidR="00755BE4">
        <w:t xml:space="preserve">rogramu oraz zespołem badawczym. Przyjęty model współpracy </w:t>
      </w:r>
      <w:r w:rsidR="00080B79">
        <w:t xml:space="preserve">był </w:t>
      </w:r>
      <w:r w:rsidR="00755BE4">
        <w:t xml:space="preserve">kontynuowany w drugim etapie badania. </w:t>
      </w:r>
    </w:p>
    <w:p w:rsidR="0037682B" w:rsidRDefault="0037682B" w:rsidP="000965A8">
      <w:pPr>
        <w:pStyle w:val="Akapitzlist"/>
        <w:numPr>
          <w:ilvl w:val="0"/>
          <w:numId w:val="13"/>
        </w:numPr>
        <w:ind w:left="714" w:hanging="357"/>
        <w:contextualSpacing w:val="0"/>
      </w:pPr>
      <w:r>
        <w:t xml:space="preserve">W ramach modułu 2 przewodnim tematem </w:t>
      </w:r>
      <w:r w:rsidR="007B74A8">
        <w:t>była</w:t>
      </w:r>
      <w:r>
        <w:t xml:space="preserve"> ocena relacji zapisów RPO WP (przede wszystkim jego części projekcyjnej) z zaw</w:t>
      </w:r>
      <w:r w:rsidR="00D76967">
        <w:t>artością dokumentów, z którymi p</w:t>
      </w:r>
      <w:r>
        <w:t>rogram powinien zachować spójność – dotyczy to przede wszystkim nadrzędnych dokumentów strategicznych (pytanie badawcze 3) oraz polityk horyzont</w:t>
      </w:r>
      <w:r w:rsidR="00D76967">
        <w:t>alnych UE (pytanie badawcze 4).</w:t>
      </w:r>
    </w:p>
    <w:p w:rsidR="007E541C" w:rsidRDefault="007E541C" w:rsidP="007E541C">
      <w:pPr>
        <w:pStyle w:val="Akapitzlist"/>
        <w:ind w:left="714"/>
        <w:contextualSpacing w:val="0"/>
      </w:pPr>
    </w:p>
    <w:p w:rsidR="00D76967" w:rsidRDefault="00D76967" w:rsidP="000965A8">
      <w:pPr>
        <w:pStyle w:val="Akapitzlist"/>
        <w:numPr>
          <w:ilvl w:val="0"/>
          <w:numId w:val="13"/>
        </w:numPr>
        <w:ind w:left="714" w:hanging="357"/>
        <w:contextualSpacing w:val="0"/>
      </w:pPr>
      <w:r>
        <w:t xml:space="preserve">Niezależnie od oceny przyjętych w RPO WP założeń dotyczących logiki przyszłej interwencji, konieczna </w:t>
      </w:r>
      <w:r w:rsidR="007E541C">
        <w:t>była</w:t>
      </w:r>
      <w:r>
        <w:t xml:space="preserve"> także weryfikacja tego, na ile obecny potencjał jednostek odpowiedzialnych za wdrażanie poszczególnych działań </w:t>
      </w:r>
      <w:r w:rsidR="007E541C">
        <w:t>jest</w:t>
      </w:r>
      <w:r>
        <w:t xml:space="preserve"> wystarczający do skutecznej i efektywnej realizacji celów programu. Na problem ten trzeba spojrzeć zarówno z perspektywy poszczególnych jednostek, jak i z perspektywy interakcji pomiędzy nimi (pytanie badawcze 5). Elementem prac w tym module </w:t>
      </w:r>
      <w:r w:rsidR="007E541C">
        <w:t>była</w:t>
      </w:r>
      <w:r>
        <w:t xml:space="preserve"> także ocena zaproponowanych w RPO WP wskaźników rezultatu strategicznego oraz szerzej – ocena zawartego w analizowanym dokumencie systemu monitorowania interwencji (pytanie badawcze 6).</w:t>
      </w:r>
      <w:r w:rsidR="007E541C">
        <w:t xml:space="preserve"> Z uwagi na wymienione wcześniej ograniczenia, zadania związane z modułem 3 badania </w:t>
      </w:r>
      <w:r w:rsidR="00116635">
        <w:t xml:space="preserve">były </w:t>
      </w:r>
      <w:r w:rsidR="007E541C">
        <w:t xml:space="preserve">kontynuowane w drugim etapie ewaluacji. </w:t>
      </w:r>
    </w:p>
    <w:p w:rsidR="007B74A8" w:rsidRDefault="007416EA" w:rsidP="000965A8">
      <w:pPr>
        <w:pStyle w:val="Akapitzlist"/>
        <w:numPr>
          <w:ilvl w:val="0"/>
          <w:numId w:val="13"/>
        </w:numPr>
        <w:contextualSpacing w:val="0"/>
      </w:pPr>
      <w:r w:rsidRPr="007416EA">
        <w:t xml:space="preserve">Zwieńczeniem prac badawczych </w:t>
      </w:r>
      <w:r>
        <w:t>był</w:t>
      </w:r>
      <w:r w:rsidRPr="007416EA">
        <w:t xml:space="preserve"> moduł 4,</w:t>
      </w:r>
      <w:r w:rsidR="007E541C">
        <w:t xml:space="preserve"> </w:t>
      </w:r>
      <w:r w:rsidRPr="007416EA">
        <w:t xml:space="preserve">w ramach którego </w:t>
      </w:r>
      <w:r>
        <w:t>opracowano</w:t>
      </w:r>
      <w:r w:rsidRPr="007416EA">
        <w:t xml:space="preserve"> </w:t>
      </w:r>
      <w:r w:rsidR="007E541C">
        <w:t>wstępne propozycje</w:t>
      </w:r>
      <w:r w:rsidRPr="007416EA">
        <w:t xml:space="preserve"> zmian w projekcie programu wynikające z analiz przeprowadzonych we wcześniejszych modułach. Wypracowany pakiet rekomendacji </w:t>
      </w:r>
      <w:r>
        <w:t>był szczegółowo dyskutowany z autorami programu</w:t>
      </w:r>
      <w:r w:rsidR="007E541C">
        <w:t xml:space="preserve"> – prace w tym zakresie </w:t>
      </w:r>
      <w:r w:rsidR="00116635">
        <w:t xml:space="preserve">były </w:t>
      </w:r>
      <w:r w:rsidR="007E541C">
        <w:t xml:space="preserve">także kontynuowane w drugim etapie. </w:t>
      </w:r>
    </w:p>
    <w:p w:rsidR="00AF436B" w:rsidRDefault="00AF436B" w:rsidP="00AF436B"/>
    <w:p w:rsidR="00AF436B" w:rsidRDefault="00AF436B" w:rsidP="00AF436B"/>
    <w:tbl>
      <w:tblPr>
        <w:tblStyle w:val="Tabela-Siatka"/>
        <w:tblW w:w="0" w:type="auto"/>
        <w:tblLook w:val="04A0"/>
      </w:tblPr>
      <w:tblGrid>
        <w:gridCol w:w="9210"/>
      </w:tblGrid>
      <w:tr w:rsidR="00B10955" w:rsidTr="00B10955">
        <w:tc>
          <w:tcPr>
            <w:tcW w:w="9210" w:type="dxa"/>
            <w:tcBorders>
              <w:top w:val="nil"/>
              <w:left w:val="nil"/>
              <w:bottom w:val="nil"/>
              <w:right w:val="nil"/>
            </w:tcBorders>
            <w:shd w:val="clear" w:color="auto" w:fill="D1DEEE" w:themeFill="accent1" w:themeFillTint="33"/>
          </w:tcPr>
          <w:p w:rsidR="00B10955" w:rsidRDefault="007B74A8" w:rsidP="00FF5AC6">
            <w:pPr>
              <w:pStyle w:val="Legenda"/>
              <w:spacing w:before="120" w:after="120"/>
            </w:pPr>
            <w:r>
              <w:br w:type="page"/>
            </w:r>
            <w:r w:rsidR="00B10955">
              <w:t xml:space="preserve">Ramka </w:t>
            </w:r>
            <w:r w:rsidR="001B04AC">
              <w:fldChar w:fldCharType="begin"/>
            </w:r>
            <w:r w:rsidR="000E06F8">
              <w:instrText xml:space="preserve"> SEQ Ramka \* ARABIC </w:instrText>
            </w:r>
            <w:r w:rsidR="001B04AC">
              <w:fldChar w:fldCharType="separate"/>
            </w:r>
            <w:r w:rsidR="00832320">
              <w:rPr>
                <w:noProof/>
              </w:rPr>
              <w:t>1</w:t>
            </w:r>
            <w:r w:rsidR="001B04AC">
              <w:rPr>
                <w:noProof/>
              </w:rPr>
              <w:fldChar w:fldCharType="end"/>
            </w:r>
            <w:r w:rsidR="00B10955">
              <w:t xml:space="preserve">. Ewaluacja </w:t>
            </w:r>
            <w:r w:rsidR="00FF5AC6">
              <w:t>wspierana teorią:</w:t>
            </w:r>
          </w:p>
        </w:tc>
      </w:tr>
      <w:tr w:rsidR="00B10955" w:rsidTr="00B10955">
        <w:tc>
          <w:tcPr>
            <w:tcW w:w="9210" w:type="dxa"/>
            <w:tcBorders>
              <w:top w:val="nil"/>
              <w:left w:val="nil"/>
              <w:bottom w:val="nil"/>
              <w:right w:val="nil"/>
            </w:tcBorders>
            <w:shd w:val="clear" w:color="auto" w:fill="D1DEEE" w:themeFill="accent1" w:themeFillTint="33"/>
          </w:tcPr>
          <w:p w:rsidR="00B10955" w:rsidRPr="00B10955" w:rsidRDefault="00B10955" w:rsidP="00B10955">
            <w:pPr>
              <w:spacing w:before="120" w:after="120"/>
              <w:rPr>
                <w:b/>
              </w:rPr>
            </w:pPr>
            <w:r w:rsidRPr="000341AC">
              <w:t xml:space="preserve">Centralnym punktem tego podejścia jest założenie, że </w:t>
            </w:r>
            <w:r>
              <w:rPr>
                <w:b/>
              </w:rPr>
              <w:t>zaprojektowaną</w:t>
            </w:r>
            <w:r w:rsidRPr="000341AC">
              <w:rPr>
                <w:b/>
              </w:rPr>
              <w:t xml:space="preserve"> w dokumencie programowym interwencj</w:t>
            </w:r>
            <w:r>
              <w:rPr>
                <w:b/>
              </w:rPr>
              <w:t>ę publiczną</w:t>
            </w:r>
            <w:r w:rsidRPr="000341AC">
              <w:rPr>
                <w:b/>
              </w:rPr>
              <w:t xml:space="preserve"> można </w:t>
            </w:r>
            <w:r>
              <w:rPr>
                <w:b/>
              </w:rPr>
              <w:t>potraktować jako teorię naukową</w:t>
            </w:r>
            <w:r w:rsidRPr="000341AC">
              <w:t>.</w:t>
            </w:r>
            <w:r>
              <w:rPr>
                <w:rStyle w:val="Odwoanieprzypisudolnego"/>
              </w:rPr>
              <w:footnoteReference w:id="2"/>
            </w:r>
            <w:r w:rsidRPr="000341AC">
              <w:t xml:space="preserve"> Autorzy interwencji przyjmują bowiem, że pewien pakiet działań, na który alokowano środki (nakłady) pozwoli na osiągnięcie efektów rzeczowych (produkty), które z kolei przełożą się na określoną zmianę </w:t>
            </w:r>
            <w:r>
              <w:t xml:space="preserve">w sytuacji odbiorców wsparcia (rezultaty bezpośrednie), co przełoży się na zmianę </w:t>
            </w:r>
            <w:r w:rsidRPr="000341AC">
              <w:t xml:space="preserve">w sytuacji społeczno-gospodarczej (rezultaty strategiczne). </w:t>
            </w:r>
            <w:r>
              <w:t xml:space="preserve">Uporządkowane według związków przyczynowo – skutkowych powyższe elementy tworzą </w:t>
            </w:r>
            <w:r>
              <w:rPr>
                <w:b/>
              </w:rPr>
              <w:t>model logiczny</w:t>
            </w:r>
            <w:r>
              <w:t xml:space="preserve"> – czyli graficzną prezentację interwencji. Zaprezentowane w modelu powiązania muszą jednak zostać wyjaśnione, dlatego niezbędne jest poszukiwanie odpowiedzi na pytania: </w:t>
            </w:r>
            <w:r w:rsidRPr="00451201">
              <w:rPr>
                <w:u w:val="single"/>
              </w:rPr>
              <w:t>w jaki sposób i dlaczego</w:t>
            </w:r>
            <w:r>
              <w:t xml:space="preserve"> poszczególne elementy składowe interwencji (modelu logicznego) przyczynią się do osiągnięcia zamierzonych rezultatów. Odpowiedź na te pytania powinna bazować na dostępnej wiedzy naukowej i eksperckiej. W ten sposób budowana jest </w:t>
            </w:r>
            <w:r>
              <w:rPr>
                <w:b/>
              </w:rPr>
              <w:t xml:space="preserve">teoria zmiany, będąca podstawą ewaluacji wspieranej teorią. </w:t>
            </w:r>
          </w:p>
        </w:tc>
      </w:tr>
      <w:tr w:rsidR="00B10955" w:rsidRPr="00B10955" w:rsidTr="00B10955">
        <w:tc>
          <w:tcPr>
            <w:tcW w:w="9210" w:type="dxa"/>
            <w:tcBorders>
              <w:top w:val="nil"/>
              <w:left w:val="nil"/>
              <w:bottom w:val="nil"/>
              <w:right w:val="nil"/>
            </w:tcBorders>
            <w:shd w:val="clear" w:color="auto" w:fill="D1DEEE" w:themeFill="accent1" w:themeFillTint="33"/>
          </w:tcPr>
          <w:p w:rsidR="00B10955" w:rsidRPr="00B10955" w:rsidRDefault="00B10955" w:rsidP="00B10955">
            <w:pPr>
              <w:keepNext/>
              <w:spacing w:before="120" w:after="120"/>
              <w:jc w:val="center"/>
              <w:rPr>
                <w:i/>
              </w:rPr>
            </w:pPr>
            <w:r w:rsidRPr="00B10955">
              <w:rPr>
                <w:i/>
              </w:rPr>
              <w:t>Źródło: Opracowanie własne.</w:t>
            </w:r>
          </w:p>
        </w:tc>
      </w:tr>
    </w:tbl>
    <w:p w:rsidR="00AF436B" w:rsidRDefault="00AF436B">
      <w:pPr>
        <w:jc w:val="left"/>
      </w:pPr>
    </w:p>
    <w:p w:rsidR="00AF436B" w:rsidRDefault="00AF436B">
      <w:pPr>
        <w:jc w:val="left"/>
      </w:pPr>
      <w:r>
        <w:br w:type="page"/>
      </w:r>
    </w:p>
    <w:p w:rsidR="0092245E" w:rsidRDefault="0092245E" w:rsidP="0092245E">
      <w:pPr>
        <w:pStyle w:val="Legenda"/>
        <w:keepNext/>
      </w:pPr>
      <w:r>
        <w:lastRenderedPageBreak/>
        <w:t xml:space="preserve">Tabela </w:t>
      </w:r>
      <w:r w:rsidR="001B04AC">
        <w:fldChar w:fldCharType="begin"/>
      </w:r>
      <w:r w:rsidR="000E06F8">
        <w:instrText xml:space="preserve"> SEQ Tabela \* ARABIC </w:instrText>
      </w:r>
      <w:r w:rsidR="001B04AC">
        <w:fldChar w:fldCharType="separate"/>
      </w:r>
      <w:r w:rsidR="00832320">
        <w:rPr>
          <w:noProof/>
        </w:rPr>
        <w:t>2</w:t>
      </w:r>
      <w:r w:rsidR="001B04AC">
        <w:rPr>
          <w:noProof/>
        </w:rPr>
        <w:fldChar w:fldCharType="end"/>
      </w:r>
      <w:r>
        <w:t xml:space="preserve">. Pytania badawcze i </w:t>
      </w:r>
      <w:r w:rsidR="00316819">
        <w:t>ich umiejscowienie w raporcie</w:t>
      </w:r>
    </w:p>
    <w:tbl>
      <w:tblPr>
        <w:tblStyle w:val="Tabela-Siatka"/>
        <w:tblW w:w="5000" w:type="pct"/>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754"/>
        <w:gridCol w:w="512"/>
        <w:gridCol w:w="6398"/>
        <w:gridCol w:w="1622"/>
      </w:tblGrid>
      <w:tr w:rsidR="00B05F42" w:rsidRPr="008F4200" w:rsidTr="00B05F42">
        <w:trPr>
          <w:tblHeader/>
          <w:jc w:val="center"/>
        </w:trPr>
        <w:tc>
          <w:tcPr>
            <w:tcW w:w="1266" w:type="dxa"/>
            <w:gridSpan w:val="2"/>
            <w:shd w:val="clear" w:color="auto" w:fill="366092" w:themeFill="accent1"/>
          </w:tcPr>
          <w:p w:rsidR="00B05F42" w:rsidRPr="008F4200" w:rsidRDefault="00B05F42" w:rsidP="00B05F42">
            <w:pPr>
              <w:spacing w:before="120" w:after="120"/>
              <w:jc w:val="center"/>
              <w:rPr>
                <w:b/>
                <w:color w:val="FFFFFF" w:themeColor="background1"/>
                <w:sz w:val="20"/>
              </w:rPr>
            </w:pPr>
            <w:r w:rsidRPr="008F4200">
              <w:rPr>
                <w:b/>
                <w:color w:val="FFFFFF" w:themeColor="background1"/>
                <w:sz w:val="20"/>
              </w:rPr>
              <w:t>moduł</w:t>
            </w:r>
          </w:p>
        </w:tc>
        <w:tc>
          <w:tcPr>
            <w:tcW w:w="6398" w:type="dxa"/>
            <w:shd w:val="clear" w:color="auto" w:fill="366092" w:themeFill="accent1"/>
          </w:tcPr>
          <w:p w:rsidR="00B05F42" w:rsidRPr="008F4200" w:rsidRDefault="00B05F42" w:rsidP="00B05F42">
            <w:pPr>
              <w:spacing w:before="120" w:after="120"/>
              <w:jc w:val="center"/>
              <w:rPr>
                <w:b/>
                <w:i/>
                <w:color w:val="FFFFFF" w:themeColor="background1"/>
                <w:sz w:val="20"/>
              </w:rPr>
            </w:pPr>
            <w:r w:rsidRPr="008F4200">
              <w:rPr>
                <w:b/>
                <w:color w:val="FFFFFF" w:themeColor="background1"/>
                <w:sz w:val="20"/>
              </w:rPr>
              <w:t>pytanie badawcze</w:t>
            </w:r>
          </w:p>
        </w:tc>
        <w:tc>
          <w:tcPr>
            <w:tcW w:w="1622" w:type="dxa"/>
            <w:shd w:val="clear" w:color="auto" w:fill="366092" w:themeFill="accent1"/>
          </w:tcPr>
          <w:p w:rsidR="00B05F42" w:rsidRPr="008F4200" w:rsidRDefault="00B05F42" w:rsidP="00B05F42">
            <w:pPr>
              <w:spacing w:before="120" w:after="120"/>
              <w:jc w:val="center"/>
              <w:rPr>
                <w:b/>
                <w:color w:val="FFFFFF" w:themeColor="background1"/>
                <w:sz w:val="20"/>
              </w:rPr>
            </w:pPr>
            <w:r w:rsidRPr="008F4200">
              <w:rPr>
                <w:b/>
                <w:color w:val="FFFFFF" w:themeColor="background1"/>
                <w:sz w:val="20"/>
              </w:rPr>
              <w:t>sekcja raportu</w:t>
            </w:r>
          </w:p>
        </w:tc>
      </w:tr>
      <w:tr w:rsidR="008F4200" w:rsidRPr="00316819" w:rsidTr="00B05F42">
        <w:trPr>
          <w:jc w:val="center"/>
        </w:trPr>
        <w:tc>
          <w:tcPr>
            <w:tcW w:w="754" w:type="dxa"/>
            <w:vMerge w:val="restart"/>
            <w:shd w:val="clear" w:color="auto" w:fill="D1DEEE" w:themeFill="accent1" w:themeFillTint="33"/>
            <w:vAlign w:val="center"/>
          </w:tcPr>
          <w:p w:rsidR="008F4200" w:rsidRPr="008F4200" w:rsidRDefault="008F4200" w:rsidP="008F4200">
            <w:pPr>
              <w:spacing w:before="120" w:after="120"/>
              <w:jc w:val="center"/>
              <w:rPr>
                <w:b/>
                <w:sz w:val="20"/>
              </w:rPr>
            </w:pPr>
            <w:r w:rsidRPr="008F4200">
              <w:rPr>
                <w:b/>
                <w:sz w:val="20"/>
              </w:rPr>
              <w:t>I</w:t>
            </w: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1</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regionalny program operacyjny na lata 2014-2020 trafnie odpowiada na wyzwania i potrzeby społeczno-ekonomiczne zdiagnozowane w dokumentach strategicznych?</w:t>
            </w:r>
          </w:p>
        </w:tc>
        <w:tc>
          <w:tcPr>
            <w:tcW w:w="1622" w:type="dxa"/>
            <w:vAlign w:val="center"/>
          </w:tcPr>
          <w:p w:rsidR="008F4200" w:rsidRPr="00316819" w:rsidRDefault="00B05F42" w:rsidP="008F4200">
            <w:pPr>
              <w:spacing w:before="120" w:after="120"/>
              <w:jc w:val="center"/>
              <w:rPr>
                <w:sz w:val="20"/>
              </w:rPr>
            </w:pPr>
            <w:r>
              <w:rPr>
                <w:sz w:val="20"/>
              </w:rPr>
              <w:t>4</w:t>
            </w:r>
            <w:r w:rsidR="008F4200" w:rsidRPr="00316819">
              <w:rPr>
                <w:sz w:val="20"/>
              </w:rPr>
              <w:t>.X.1</w:t>
            </w:r>
          </w:p>
        </w:tc>
      </w:tr>
      <w:tr w:rsidR="008F4200" w:rsidRPr="00316819" w:rsidTr="00B05F42">
        <w:trPr>
          <w:jc w:val="center"/>
        </w:trPr>
        <w:tc>
          <w:tcPr>
            <w:tcW w:w="754" w:type="dxa"/>
            <w:vMerge/>
            <w:shd w:val="clear" w:color="auto" w:fill="D1DEEE" w:themeFill="accent1" w:themeFillTint="33"/>
            <w:vAlign w:val="center"/>
          </w:tcPr>
          <w:p w:rsidR="008F4200" w:rsidRPr="008F4200" w:rsidRDefault="008F4200" w:rsidP="008F4200">
            <w:pPr>
              <w:spacing w:before="120" w:after="120"/>
              <w:jc w:val="center"/>
              <w:rPr>
                <w:b/>
                <w:sz w:val="20"/>
              </w:rPr>
            </w:pP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2</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zaproponowana logika interwencji umożliwi zrealizowanie założonych celów rozwojowych?</w:t>
            </w:r>
          </w:p>
        </w:tc>
        <w:tc>
          <w:tcPr>
            <w:tcW w:w="1622" w:type="dxa"/>
            <w:vAlign w:val="center"/>
          </w:tcPr>
          <w:p w:rsidR="008F4200" w:rsidRPr="00316819" w:rsidRDefault="00B05F42" w:rsidP="008F4200">
            <w:pPr>
              <w:spacing w:before="120" w:after="120"/>
              <w:jc w:val="center"/>
              <w:rPr>
                <w:sz w:val="20"/>
              </w:rPr>
            </w:pPr>
            <w:r>
              <w:rPr>
                <w:sz w:val="20"/>
              </w:rPr>
              <w:t>4</w:t>
            </w:r>
            <w:r w:rsidR="008F4200" w:rsidRPr="00316819">
              <w:rPr>
                <w:sz w:val="20"/>
              </w:rPr>
              <w:t>.X.2</w:t>
            </w:r>
          </w:p>
        </w:tc>
      </w:tr>
      <w:tr w:rsidR="008F4200" w:rsidRPr="00316819" w:rsidTr="00B05F42">
        <w:trPr>
          <w:jc w:val="center"/>
        </w:trPr>
        <w:tc>
          <w:tcPr>
            <w:tcW w:w="754" w:type="dxa"/>
            <w:vMerge w:val="restart"/>
            <w:shd w:val="clear" w:color="auto" w:fill="D1DEEE" w:themeFill="accent1" w:themeFillTint="33"/>
            <w:vAlign w:val="center"/>
          </w:tcPr>
          <w:p w:rsidR="008F4200" w:rsidRPr="008F4200" w:rsidRDefault="008F4200" w:rsidP="008F4200">
            <w:pPr>
              <w:spacing w:before="120" w:after="120"/>
              <w:jc w:val="center"/>
              <w:rPr>
                <w:b/>
                <w:sz w:val="20"/>
              </w:rPr>
            </w:pPr>
            <w:r w:rsidRPr="008F4200">
              <w:rPr>
                <w:b/>
                <w:sz w:val="20"/>
              </w:rPr>
              <w:t>II</w:t>
            </w: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3</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założenia i cele regionalnego programu operacyjnego są spójne z najważniejszymi politykami i strategiami na poziomie unijnym, krajowym i regionalnym?</w:t>
            </w:r>
          </w:p>
        </w:tc>
        <w:tc>
          <w:tcPr>
            <w:tcW w:w="1622" w:type="dxa"/>
            <w:vAlign w:val="center"/>
          </w:tcPr>
          <w:p w:rsidR="008F4200" w:rsidRPr="00316819" w:rsidRDefault="00B05F42" w:rsidP="008F4200">
            <w:pPr>
              <w:spacing w:before="120" w:after="120"/>
              <w:jc w:val="center"/>
              <w:rPr>
                <w:sz w:val="20"/>
              </w:rPr>
            </w:pPr>
            <w:r>
              <w:rPr>
                <w:sz w:val="20"/>
              </w:rPr>
              <w:t>4</w:t>
            </w:r>
            <w:r w:rsidR="008F4200" w:rsidRPr="00316819">
              <w:rPr>
                <w:sz w:val="20"/>
              </w:rPr>
              <w:t>.X.1</w:t>
            </w:r>
          </w:p>
        </w:tc>
      </w:tr>
      <w:tr w:rsidR="008F4200" w:rsidRPr="00316819" w:rsidTr="00B05F42">
        <w:trPr>
          <w:jc w:val="center"/>
        </w:trPr>
        <w:tc>
          <w:tcPr>
            <w:tcW w:w="754" w:type="dxa"/>
            <w:vMerge/>
            <w:shd w:val="clear" w:color="auto" w:fill="D1DEEE" w:themeFill="accent1" w:themeFillTint="33"/>
            <w:vAlign w:val="center"/>
          </w:tcPr>
          <w:p w:rsidR="008F4200" w:rsidRPr="008F4200" w:rsidRDefault="008F4200" w:rsidP="008F4200">
            <w:pPr>
              <w:spacing w:before="120" w:after="120"/>
              <w:jc w:val="center"/>
              <w:rPr>
                <w:b/>
                <w:sz w:val="20"/>
              </w:rPr>
            </w:pP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4</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i w jakim zakresie program operacyjny uwzględnia i przyczynia się do realizacji celów polityk horyzontalnych (realizacja zasad równości szans płci, niedyskryminacji oraz zrównoważonego rozwoju)?</w:t>
            </w:r>
          </w:p>
        </w:tc>
        <w:tc>
          <w:tcPr>
            <w:tcW w:w="1622" w:type="dxa"/>
            <w:vAlign w:val="center"/>
          </w:tcPr>
          <w:p w:rsidR="008F4200" w:rsidRPr="00316819" w:rsidRDefault="00B05F42" w:rsidP="008F4200">
            <w:pPr>
              <w:spacing w:before="120" w:after="120"/>
              <w:jc w:val="center"/>
              <w:rPr>
                <w:sz w:val="20"/>
              </w:rPr>
            </w:pPr>
            <w:r>
              <w:rPr>
                <w:sz w:val="20"/>
              </w:rPr>
              <w:t>4</w:t>
            </w:r>
            <w:r w:rsidR="008F4200" w:rsidRPr="00316819">
              <w:rPr>
                <w:sz w:val="20"/>
              </w:rPr>
              <w:t>.X.3</w:t>
            </w:r>
          </w:p>
        </w:tc>
      </w:tr>
      <w:tr w:rsidR="008F4200" w:rsidRPr="00316819" w:rsidTr="00B05F42">
        <w:trPr>
          <w:jc w:val="center"/>
        </w:trPr>
        <w:tc>
          <w:tcPr>
            <w:tcW w:w="754" w:type="dxa"/>
            <w:vMerge w:val="restart"/>
            <w:shd w:val="clear" w:color="auto" w:fill="D1DEEE" w:themeFill="accent1" w:themeFillTint="33"/>
            <w:vAlign w:val="center"/>
          </w:tcPr>
          <w:p w:rsidR="008F4200" w:rsidRPr="008F4200" w:rsidRDefault="008F4200" w:rsidP="008F4200">
            <w:pPr>
              <w:spacing w:before="120" w:after="120"/>
              <w:jc w:val="center"/>
              <w:rPr>
                <w:b/>
                <w:sz w:val="20"/>
              </w:rPr>
            </w:pPr>
            <w:r w:rsidRPr="008F4200">
              <w:rPr>
                <w:b/>
                <w:sz w:val="20"/>
              </w:rPr>
              <w:t>III</w:t>
            </w: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5</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i w jakim zakresie obecny potencjał instytucjonalny, w tym zasoby ludzkie, jest wystarczający do realizacji regionalnego programu operacyjnego na lata 2014-2020?</w:t>
            </w:r>
          </w:p>
        </w:tc>
        <w:tc>
          <w:tcPr>
            <w:tcW w:w="1622" w:type="dxa"/>
            <w:vAlign w:val="center"/>
          </w:tcPr>
          <w:p w:rsidR="008F4200" w:rsidRPr="00316819" w:rsidRDefault="008F4200" w:rsidP="008F4200">
            <w:pPr>
              <w:spacing w:before="120" w:after="120"/>
              <w:jc w:val="center"/>
              <w:rPr>
                <w:sz w:val="20"/>
              </w:rPr>
            </w:pPr>
            <w:r w:rsidRPr="00316819">
              <w:rPr>
                <w:sz w:val="20"/>
              </w:rPr>
              <w:t>4</w:t>
            </w:r>
          </w:p>
        </w:tc>
      </w:tr>
      <w:tr w:rsidR="008F4200" w:rsidRPr="00316819" w:rsidTr="00B05F42">
        <w:trPr>
          <w:jc w:val="center"/>
        </w:trPr>
        <w:tc>
          <w:tcPr>
            <w:tcW w:w="754" w:type="dxa"/>
            <w:vMerge/>
            <w:shd w:val="clear" w:color="auto" w:fill="D1DEEE" w:themeFill="accent1" w:themeFillTint="33"/>
            <w:vAlign w:val="center"/>
          </w:tcPr>
          <w:p w:rsidR="008F4200" w:rsidRPr="00316819" w:rsidRDefault="008F4200" w:rsidP="008F4200">
            <w:pPr>
              <w:spacing w:before="120" w:after="120"/>
              <w:jc w:val="center"/>
              <w:rPr>
                <w:sz w:val="20"/>
              </w:rPr>
            </w:pPr>
          </w:p>
        </w:tc>
        <w:tc>
          <w:tcPr>
            <w:tcW w:w="512" w:type="dxa"/>
            <w:shd w:val="clear" w:color="auto" w:fill="D1DEEE" w:themeFill="accent1" w:themeFillTint="33"/>
            <w:vAlign w:val="center"/>
          </w:tcPr>
          <w:p w:rsidR="008F4200" w:rsidRPr="00316819" w:rsidRDefault="008F4200" w:rsidP="008F4200">
            <w:pPr>
              <w:spacing w:before="120" w:after="120"/>
              <w:jc w:val="center"/>
              <w:rPr>
                <w:sz w:val="20"/>
              </w:rPr>
            </w:pPr>
            <w:r w:rsidRPr="00316819">
              <w:rPr>
                <w:sz w:val="20"/>
              </w:rPr>
              <w:t>6</w:t>
            </w:r>
          </w:p>
        </w:tc>
        <w:tc>
          <w:tcPr>
            <w:tcW w:w="6398" w:type="dxa"/>
            <w:shd w:val="clear" w:color="auto" w:fill="E6E6E6" w:themeFill="background1" w:themeFillShade="E6"/>
            <w:vAlign w:val="center"/>
          </w:tcPr>
          <w:p w:rsidR="008F4200" w:rsidRPr="00316819" w:rsidRDefault="008F4200" w:rsidP="008F4200">
            <w:pPr>
              <w:spacing w:before="120" w:after="120"/>
              <w:jc w:val="center"/>
              <w:rPr>
                <w:i/>
                <w:sz w:val="20"/>
              </w:rPr>
            </w:pPr>
            <w:r w:rsidRPr="00316819">
              <w:rPr>
                <w:i/>
                <w:sz w:val="20"/>
              </w:rPr>
              <w:t>Czy założenia programu operacyjnego umożliwiają skuteczną i efektywną realizację procesów monitorowania i ewaluacji?</w:t>
            </w:r>
          </w:p>
        </w:tc>
        <w:tc>
          <w:tcPr>
            <w:tcW w:w="1622" w:type="dxa"/>
            <w:vAlign w:val="center"/>
          </w:tcPr>
          <w:p w:rsidR="008F4200" w:rsidRPr="00316819" w:rsidRDefault="008F4200" w:rsidP="008F4200">
            <w:pPr>
              <w:spacing w:before="120" w:after="120"/>
              <w:jc w:val="center"/>
              <w:rPr>
                <w:sz w:val="20"/>
              </w:rPr>
            </w:pPr>
            <w:r w:rsidRPr="00316819">
              <w:rPr>
                <w:sz w:val="20"/>
              </w:rPr>
              <w:t>4</w:t>
            </w:r>
          </w:p>
        </w:tc>
      </w:tr>
    </w:tbl>
    <w:p w:rsidR="007B74A8" w:rsidRDefault="00316819" w:rsidP="00316819">
      <w:pPr>
        <w:jc w:val="center"/>
        <w:rPr>
          <w:i/>
        </w:rPr>
      </w:pPr>
      <w:r w:rsidRPr="00316819">
        <w:rPr>
          <w:i/>
        </w:rPr>
        <w:t>Źródło: Opracowanie własne</w:t>
      </w:r>
    </w:p>
    <w:p w:rsidR="007B74A8" w:rsidRDefault="003E4CA1">
      <w:pPr>
        <w:jc w:val="left"/>
        <w:rPr>
          <w:i/>
        </w:rPr>
      </w:pPr>
      <w:r>
        <w:rPr>
          <w:i/>
        </w:rPr>
        <w:t xml:space="preserve"> </w:t>
      </w:r>
      <w:r w:rsidR="007B74A8">
        <w:rPr>
          <w:i/>
        </w:rPr>
        <w:br w:type="page"/>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2"/>
      </w:tblGrid>
      <w:tr w:rsidR="00316819" w:rsidTr="007416EA">
        <w:tc>
          <w:tcPr>
            <w:tcW w:w="9282" w:type="dxa"/>
          </w:tcPr>
          <w:p w:rsidR="00316819" w:rsidRDefault="00B05F42" w:rsidP="00B05F42">
            <w:pPr>
              <w:pStyle w:val="Legenda"/>
            </w:pPr>
            <w:r>
              <w:lastRenderedPageBreak/>
              <w:t xml:space="preserve">Schemat </w:t>
            </w:r>
            <w:r w:rsidR="001B04AC">
              <w:fldChar w:fldCharType="begin"/>
            </w:r>
            <w:r w:rsidR="008E1D74">
              <w:instrText xml:space="preserve"> SEQ Schemat \* ARABIC </w:instrText>
            </w:r>
            <w:r w:rsidR="001B04AC">
              <w:fldChar w:fldCharType="separate"/>
            </w:r>
            <w:r w:rsidR="00832320">
              <w:rPr>
                <w:noProof/>
              </w:rPr>
              <w:t>2</w:t>
            </w:r>
            <w:r w:rsidR="001B04AC">
              <w:rPr>
                <w:noProof/>
              </w:rPr>
              <w:fldChar w:fldCharType="end"/>
            </w:r>
            <w:r>
              <w:t>.</w:t>
            </w:r>
            <w:r w:rsidR="0086663A">
              <w:t xml:space="preserve"> Zestawienie metod badawczych</w:t>
            </w:r>
            <w:r w:rsidR="0037682B">
              <w:t xml:space="preserve"> w powiązaniu </w:t>
            </w:r>
            <w:r w:rsidR="00FF6EEB">
              <w:t xml:space="preserve">z </w:t>
            </w:r>
            <w:r w:rsidR="0037682B">
              <w:t>modułami badania</w:t>
            </w:r>
          </w:p>
        </w:tc>
      </w:tr>
      <w:tr w:rsidR="00316819" w:rsidTr="007B74A8">
        <w:tc>
          <w:tcPr>
            <w:tcW w:w="9282" w:type="dxa"/>
          </w:tcPr>
          <w:p w:rsidR="00316819" w:rsidRDefault="00583A83" w:rsidP="00A3411E">
            <w:pPr>
              <w:spacing w:before="120" w:after="120"/>
              <w:jc w:val="center"/>
            </w:pPr>
            <w:r>
              <w:rPr>
                <w:noProof/>
                <w:lang w:eastAsia="pl-PL"/>
              </w:rPr>
              <w:drawing>
                <wp:inline distT="0" distB="0" distL="0" distR="0">
                  <wp:extent cx="5411973" cy="5425703"/>
                  <wp:effectExtent l="0" t="0" r="0" b="3810"/>
                  <wp:docPr id="34" name="Obraz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16391" cy="5430132"/>
                          </a:xfrm>
                          <a:prstGeom prst="rect">
                            <a:avLst/>
                          </a:prstGeom>
                          <a:noFill/>
                          <a:ln>
                            <a:noFill/>
                          </a:ln>
                        </pic:spPr>
                      </pic:pic>
                    </a:graphicData>
                  </a:graphic>
                </wp:inline>
              </w:drawing>
            </w:r>
          </w:p>
        </w:tc>
      </w:tr>
      <w:tr w:rsidR="00316819" w:rsidTr="007416EA">
        <w:tc>
          <w:tcPr>
            <w:tcW w:w="9282" w:type="dxa"/>
          </w:tcPr>
          <w:p w:rsidR="00316819" w:rsidRPr="0086663A" w:rsidRDefault="0086663A" w:rsidP="00B05F42">
            <w:pPr>
              <w:keepNext/>
              <w:spacing w:before="120" w:after="120"/>
              <w:jc w:val="center"/>
              <w:rPr>
                <w:i/>
              </w:rPr>
            </w:pPr>
            <w:r w:rsidRPr="0086663A">
              <w:rPr>
                <w:i/>
              </w:rPr>
              <w:t>Źródło: Opracowanie własne</w:t>
            </w:r>
          </w:p>
        </w:tc>
      </w:tr>
    </w:tbl>
    <w:p w:rsidR="0086663A" w:rsidRDefault="0086663A">
      <w:pPr>
        <w:jc w:val="left"/>
        <w:rPr>
          <w:rFonts w:asciiTheme="majorHAnsi" w:eastAsiaTheme="majorEastAsia" w:hAnsiTheme="majorHAnsi" w:cstheme="majorBidi"/>
          <w:b/>
          <w:bCs/>
          <w:color w:val="28476D" w:themeColor="accent1" w:themeShade="BF"/>
          <w:sz w:val="28"/>
          <w:szCs w:val="28"/>
        </w:rPr>
      </w:pPr>
      <w:r>
        <w:br w:type="page"/>
      </w:r>
    </w:p>
    <w:p w:rsidR="007520D5" w:rsidRDefault="00102EA9" w:rsidP="00316819">
      <w:pPr>
        <w:pStyle w:val="Nagwek1"/>
      </w:pPr>
      <w:bookmarkStart w:id="4" w:name="_Toc384914397"/>
      <w:r w:rsidRPr="00102EA9">
        <w:lastRenderedPageBreak/>
        <w:t>Ocena interwencji RPO WP</w:t>
      </w:r>
      <w:bookmarkEnd w:id="4"/>
    </w:p>
    <w:p w:rsidR="00E015F3" w:rsidRDefault="00E015F3" w:rsidP="00E015F3">
      <w:pPr>
        <w:pStyle w:val="Nagwek2"/>
      </w:pPr>
      <w:bookmarkStart w:id="5" w:name="_Toc384914398"/>
      <w:r>
        <w:t>Struktura programu i koncentracja tematyczna</w:t>
      </w:r>
      <w:bookmarkEnd w:id="5"/>
    </w:p>
    <w:p w:rsidR="00B24E31" w:rsidRDefault="00B24E31" w:rsidP="00B24E31">
      <w:r w:rsidRPr="002A04DB">
        <w:t xml:space="preserve">Regionalny Program Operacyjny Województwa Podkarpackiego na lata 2014-2020 będzie </w:t>
      </w:r>
      <w:r>
        <w:t>współfinansowany</w:t>
      </w:r>
      <w:r w:rsidRPr="002A04DB">
        <w:t xml:space="preserve"> zarówno ze środków Europejskiego Fundusz</w:t>
      </w:r>
      <w:r>
        <w:t>u Rozwoju Regionalnego, jak i z </w:t>
      </w:r>
      <w:r w:rsidRPr="002A04DB">
        <w:t xml:space="preserve">Europejskiego Funduszu Społecznego. Jest to zasadnicza zmiana  w porównaniu z okresem 2007-2013, w którym programy regionalne zasilane były wyłącznie środkami EFRR, a interwencja współfinansowana z EFS była </w:t>
      </w:r>
      <w:r>
        <w:t>n</w:t>
      </w:r>
      <w:r w:rsidRPr="002A04DB">
        <w:t xml:space="preserve">a poziomie wojewódzkim wdrażana przy pomocy komponentu regionalnego programu krajowego. W niniejszej sekcji przedstawiono wstępne uwagi na temat struktury interwencji programu oraz oceniono zastosowanie zasady koncentracji tematycznej. </w:t>
      </w:r>
      <w:r>
        <w:t>Poniższe</w:t>
      </w:r>
      <w:r w:rsidRPr="002A04DB">
        <w:t xml:space="preserve"> wnioski są ściśle powiązane</w:t>
      </w:r>
      <w:r>
        <w:t xml:space="preserve"> z analizą</w:t>
      </w:r>
      <w:r w:rsidRPr="002A04DB">
        <w:t xml:space="preserve"> przedstawioną w rozdziale 4, w który</w:t>
      </w:r>
      <w:r>
        <w:t>m</w:t>
      </w:r>
      <w:r w:rsidRPr="002A04DB">
        <w:t xml:space="preserve"> szczegółowo omówiono logikę interwencji poszczególnych osi priorytetowych.</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39"/>
        <w:gridCol w:w="6447"/>
      </w:tblGrid>
      <w:tr w:rsidR="00B24E31" w:rsidTr="00A527C6">
        <w:tc>
          <w:tcPr>
            <w:tcW w:w="9288" w:type="dxa"/>
            <w:gridSpan w:val="2"/>
          </w:tcPr>
          <w:p w:rsidR="00B24E31" w:rsidRDefault="00B24E31" w:rsidP="00A527C6">
            <w:pPr>
              <w:pStyle w:val="Legenda"/>
              <w:spacing w:before="120" w:after="120"/>
            </w:pPr>
            <w:r>
              <w:t xml:space="preserve">Wykres </w:t>
            </w:r>
            <w:r w:rsidR="001B04AC">
              <w:fldChar w:fldCharType="begin"/>
            </w:r>
            <w:r w:rsidR="008E1D74">
              <w:instrText xml:space="preserve"> SEQ Wykres \* ARABIC </w:instrText>
            </w:r>
            <w:r w:rsidR="001B04AC">
              <w:fldChar w:fldCharType="separate"/>
            </w:r>
            <w:r w:rsidR="00832320">
              <w:rPr>
                <w:noProof/>
              </w:rPr>
              <w:t>1</w:t>
            </w:r>
            <w:r w:rsidR="001B04AC">
              <w:rPr>
                <w:noProof/>
              </w:rPr>
              <w:fldChar w:fldCharType="end"/>
            </w:r>
            <w:r>
              <w:t>. Koncentracja tematyczna interwencji</w:t>
            </w:r>
          </w:p>
        </w:tc>
      </w:tr>
      <w:tr w:rsidR="00B24E31" w:rsidTr="00A527C6">
        <w:tc>
          <w:tcPr>
            <w:tcW w:w="2841" w:type="dxa"/>
          </w:tcPr>
          <w:p w:rsidR="00B24E31" w:rsidRDefault="00B24E31" w:rsidP="00A527C6">
            <w:r>
              <w:rPr>
                <w:noProof/>
                <w:lang w:eastAsia="pl-PL"/>
              </w:rPr>
              <w:drawing>
                <wp:inline distT="0" distB="0" distL="0" distR="0">
                  <wp:extent cx="1438910" cy="2883535"/>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8910" cy="2883535"/>
                          </a:xfrm>
                          <a:prstGeom prst="rect">
                            <a:avLst/>
                          </a:prstGeom>
                          <a:noFill/>
                        </pic:spPr>
                      </pic:pic>
                    </a:graphicData>
                  </a:graphic>
                </wp:inline>
              </w:drawing>
            </w:r>
          </w:p>
        </w:tc>
        <w:tc>
          <w:tcPr>
            <w:tcW w:w="6447" w:type="dxa"/>
          </w:tcPr>
          <w:p w:rsidR="00B24E31" w:rsidRDefault="00B24E31" w:rsidP="00A527C6">
            <w:r>
              <w:rPr>
                <w:noProof/>
                <w:lang w:eastAsia="pl-PL"/>
              </w:rPr>
              <w:drawing>
                <wp:inline distT="0" distB="0" distL="0" distR="0">
                  <wp:extent cx="3956685" cy="287782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6685" cy="2877820"/>
                          </a:xfrm>
                          <a:prstGeom prst="rect">
                            <a:avLst/>
                          </a:prstGeom>
                          <a:noFill/>
                        </pic:spPr>
                      </pic:pic>
                    </a:graphicData>
                  </a:graphic>
                </wp:inline>
              </w:drawing>
            </w:r>
          </w:p>
        </w:tc>
      </w:tr>
      <w:tr w:rsidR="00B24E31" w:rsidTr="00A527C6">
        <w:tc>
          <w:tcPr>
            <w:tcW w:w="9288" w:type="dxa"/>
            <w:gridSpan w:val="2"/>
          </w:tcPr>
          <w:p w:rsidR="00B24E31" w:rsidRDefault="00B24E31" w:rsidP="00A527C6">
            <w:pPr>
              <w:jc w:val="center"/>
            </w:pPr>
            <w:r w:rsidRPr="00F74048">
              <w:rPr>
                <w:i/>
                <w:noProof/>
                <w:lang w:eastAsia="pl-PL"/>
              </w:rPr>
              <w:t>Źródło: Opracowanie własne</w:t>
            </w:r>
          </w:p>
        </w:tc>
      </w:tr>
    </w:tbl>
    <w:p w:rsidR="00B24E31" w:rsidRDefault="00B24E31" w:rsidP="00B24E31"/>
    <w:p w:rsidR="00B24E31" w:rsidRDefault="00B24E31" w:rsidP="00B24E31">
      <w:r w:rsidRPr="002A04DB">
        <w:t>Z uwagi na rozwiązania przyjęte na poziomie krajowym i europejskim, optymalnym rozwiązaniem było stworzenie osi priorytetowych finansowanych wyłącznie z jednego funduszu. Takie rozstrzygnięcie należy ocenić jako prawidłowe z wdrożeniowego punktu widzenia</w:t>
      </w:r>
      <w:r>
        <w:t>. P</w:t>
      </w:r>
      <w:r w:rsidRPr="002A04DB">
        <w:t>odczas prac na szczegółowym opisem osi priorytetowych należy jednak zwrócić dużą uwagę na koordynację interwencji pomiędzy EFS i EFRR</w:t>
      </w:r>
      <w:r>
        <w:t xml:space="preserve">. </w:t>
      </w:r>
      <w:r w:rsidRPr="002A04DB">
        <w:t xml:space="preserve"> </w:t>
      </w:r>
      <w:r>
        <w:t>S</w:t>
      </w:r>
      <w:r w:rsidRPr="002A04DB">
        <w:t xml:space="preserve">zczególnie </w:t>
      </w:r>
      <w:r>
        <w:t>dotyczy to celów</w:t>
      </w:r>
      <w:r w:rsidRPr="002A04DB">
        <w:t xml:space="preserve"> tematycznych 8-10, w przypadku których działania o charakterze infrastrukturalnym powinny być komplementarne do interwencji "miękkiej"</w:t>
      </w:r>
      <w:r>
        <w:t xml:space="preserve"> (powiązania pomiędzy osią priorytetową IV oraz osami finansowanymi z EFS)</w:t>
      </w:r>
      <w:r w:rsidRPr="002A04DB">
        <w:t xml:space="preserve">. </w:t>
      </w:r>
    </w:p>
    <w:p w:rsidR="00B24E31" w:rsidRDefault="00B24E31" w:rsidP="00B24E31">
      <w:r>
        <w:t xml:space="preserve">Przyjęta w programie koncentracja tematyczna interwencji została częściowo zdeterminowana przez minimalne udziały w alokacji wyznaczone dla wybranych celów tematycznych (tzw. </w:t>
      </w:r>
      <w:proofErr w:type="spellStart"/>
      <w:r>
        <w:t>ring-fencingi</w:t>
      </w:r>
      <w:proofErr w:type="spellEnd"/>
      <w:r>
        <w:t xml:space="preserve">). Zgodnie z tymi pułapami okresie 2014-2020 większy nacisk powinien zostać położony na interwencję związaną z celami strategii Europy 2020 – w szczególności w obszarze innowacyjności, działań </w:t>
      </w:r>
      <w:r>
        <w:lastRenderedPageBreak/>
        <w:t xml:space="preserve">energetyczno-klimatycznych oraz wybranych wyzwań społecznych. Podział alokacji zaproponowany w projekcie analizowanego programu wychodzi jednak naprzeciw także specyficznej sytuacji województwa podkarpackiego, co widać w szczególności na poziomie poszczególnych osi priorytetowych.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89"/>
        <w:gridCol w:w="4797"/>
      </w:tblGrid>
      <w:tr w:rsidR="00B24E31" w:rsidTr="00A527C6">
        <w:tc>
          <w:tcPr>
            <w:tcW w:w="9288" w:type="dxa"/>
            <w:gridSpan w:val="2"/>
          </w:tcPr>
          <w:p w:rsidR="00B24E31" w:rsidRDefault="00B24E31" w:rsidP="00A527C6">
            <w:pPr>
              <w:pStyle w:val="Legenda"/>
              <w:spacing w:before="120" w:after="120"/>
            </w:pPr>
            <w:r>
              <w:br w:type="page"/>
              <w:t xml:space="preserve"> Wykres </w:t>
            </w:r>
            <w:r w:rsidR="001B04AC">
              <w:fldChar w:fldCharType="begin"/>
            </w:r>
            <w:r w:rsidR="008E1D74">
              <w:instrText xml:space="preserve"> SEQ Wykres \* ARABIC </w:instrText>
            </w:r>
            <w:r w:rsidR="001B04AC">
              <w:fldChar w:fldCharType="separate"/>
            </w:r>
            <w:r w:rsidR="00832320">
              <w:rPr>
                <w:noProof/>
              </w:rPr>
              <w:t>2</w:t>
            </w:r>
            <w:r w:rsidR="001B04AC">
              <w:rPr>
                <w:noProof/>
              </w:rPr>
              <w:fldChar w:fldCharType="end"/>
            </w:r>
            <w:r>
              <w:t>. Koncentracja tematyczna interwencji w ramach EFRR</w:t>
            </w:r>
          </w:p>
        </w:tc>
      </w:tr>
      <w:tr w:rsidR="00B24E31" w:rsidTr="00A527C6">
        <w:tc>
          <w:tcPr>
            <w:tcW w:w="4490" w:type="dxa"/>
          </w:tcPr>
          <w:p w:rsidR="00B24E31" w:rsidRDefault="00B24E31" w:rsidP="00A527C6">
            <w:r>
              <w:rPr>
                <w:noProof/>
                <w:lang w:eastAsia="pl-PL"/>
              </w:rPr>
              <w:drawing>
                <wp:inline distT="0" distB="0" distL="0" distR="0">
                  <wp:extent cx="2883535" cy="2164080"/>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64080"/>
                          </a:xfrm>
                          <a:prstGeom prst="rect">
                            <a:avLst/>
                          </a:prstGeom>
                          <a:noFill/>
                        </pic:spPr>
                      </pic:pic>
                    </a:graphicData>
                  </a:graphic>
                </wp:inline>
              </w:drawing>
            </w:r>
          </w:p>
        </w:tc>
        <w:tc>
          <w:tcPr>
            <w:tcW w:w="4798" w:type="dxa"/>
          </w:tcPr>
          <w:p w:rsidR="00B24E31" w:rsidRDefault="00B24E31" w:rsidP="00A527C6">
            <w:r>
              <w:rPr>
                <w:noProof/>
                <w:lang w:eastAsia="pl-PL"/>
              </w:rPr>
              <w:drawing>
                <wp:inline distT="0" distB="0" distL="0" distR="0">
                  <wp:extent cx="3091180" cy="215836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1180" cy="2158365"/>
                          </a:xfrm>
                          <a:prstGeom prst="rect">
                            <a:avLst/>
                          </a:prstGeom>
                          <a:noFill/>
                        </pic:spPr>
                      </pic:pic>
                    </a:graphicData>
                  </a:graphic>
                </wp:inline>
              </w:drawing>
            </w:r>
          </w:p>
        </w:tc>
      </w:tr>
      <w:tr w:rsidR="00B24E31" w:rsidTr="00A527C6">
        <w:tc>
          <w:tcPr>
            <w:tcW w:w="9288" w:type="dxa"/>
            <w:gridSpan w:val="2"/>
          </w:tcPr>
          <w:p w:rsidR="00B24E31" w:rsidRDefault="00B24E31" w:rsidP="00A527C6">
            <w:pPr>
              <w:spacing w:after="120"/>
              <w:jc w:val="center"/>
            </w:pPr>
            <w:r w:rsidRPr="00F74048">
              <w:rPr>
                <w:i/>
                <w:noProof/>
                <w:lang w:eastAsia="pl-PL"/>
              </w:rPr>
              <w:t>Źródło: Opracowanie własne</w:t>
            </w:r>
          </w:p>
        </w:tc>
      </w:tr>
    </w:tbl>
    <w:p w:rsidR="00B24E31" w:rsidRDefault="00B24E31" w:rsidP="00B24E31"/>
    <w:p w:rsidR="00B24E31" w:rsidRDefault="00B24E31" w:rsidP="00B24E31">
      <w:r>
        <w:t xml:space="preserve">Strukturę interwencji w ramach osi finansowanych z Europejskiego Funduszu Rozwoju Regionalnego należy ocenić jako trafną i odpowiadającą zidentyfikowanym w diagnozie programu oraz w niniejszym raporcie wyzwaniom rozwojowym regionu. </w:t>
      </w:r>
    </w:p>
    <w:p w:rsidR="00B24E31" w:rsidRDefault="00B24E31" w:rsidP="006E6138">
      <w:pPr>
        <w:pStyle w:val="Akapitzlist"/>
        <w:numPr>
          <w:ilvl w:val="0"/>
          <w:numId w:val="52"/>
        </w:numPr>
        <w:contextualSpacing w:val="0"/>
      </w:pPr>
      <w:r>
        <w:t>Na działania związane z konkurencyjnością i innowacyjnością gospodarki (OP1) przewidziano około 25% alokacji EFRR, co jest wielkością zbliżoną do alokacji na infrastrukturę transportową. Na działania w tym obszarze przewidziano więc podobną część dostępnych środków, jak w okresie programowania 2007-2013. Wydaje się, że jest to rozwiązanie trafne. Szczególnie pozytywnie należy ocenić koncentrację tematyczną w ramach osi I – ponad ¾ środków skierowano na realizację przedsięwzięć bezpośrednio podnoszących potencjał badawczo-innowacyjny regionu (PI 1.2) oraz wspierające rozwój i działalność inwestycyjną przedsiębiorstw (PI 3.3). Skupienie interwencji właśnie na tych dwóch obszarach powinno pozwolić na osiągnięcie celów wyznaczonych na poziomie całej osi priorytetowej.</w:t>
      </w:r>
    </w:p>
    <w:p w:rsidR="00B24E31" w:rsidRDefault="00B24E31" w:rsidP="006E6138">
      <w:pPr>
        <w:pStyle w:val="Akapitzlist"/>
        <w:numPr>
          <w:ilvl w:val="0"/>
          <w:numId w:val="52"/>
        </w:numPr>
        <w:contextualSpacing w:val="0"/>
      </w:pPr>
      <w:r>
        <w:t xml:space="preserve">W przypadku działań związanych ze społeczeństwem informacyjnym (OP2), autorzy  programu podjęli słuszną decyzję o rezygnacji z bezpośredniego instrumentu przeznaczonego na rozwój e-biznesu, dopuszczając jednocześnie przedsięwzięcia tego typu w ramach osi priorytetowej 1. Całą dostępną alokacje skoncentrowano na rozwoju e-usług publicznych (PI 2.3), co daje szanse na dokonanie istotnego postępu w tym obszarze. </w:t>
      </w:r>
    </w:p>
    <w:p w:rsidR="00B24E31" w:rsidRDefault="00B24E31" w:rsidP="00B24E31">
      <w:pPr>
        <w:rPr>
          <w:b/>
          <w:bCs/>
          <w:color w:val="366092" w:themeColor="accent1"/>
          <w:sz w:val="18"/>
          <w:szCs w:val="18"/>
        </w:rPr>
      </w:pPr>
      <w:r>
        <w:br w:type="page"/>
      </w:r>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643"/>
        <w:gridCol w:w="4643"/>
      </w:tblGrid>
      <w:tr w:rsidR="00B24E31" w:rsidRPr="003D0FDB" w:rsidTr="00A527C6">
        <w:tc>
          <w:tcPr>
            <w:tcW w:w="9288" w:type="dxa"/>
            <w:gridSpan w:val="2"/>
            <w:tcBorders>
              <w:bottom w:val="single" w:sz="4" w:space="0" w:color="BFBFBF" w:themeColor="background1" w:themeShade="BF"/>
            </w:tcBorders>
            <w:shd w:val="clear" w:color="auto" w:fill="366092" w:themeFill="accent1"/>
            <w:vAlign w:val="center"/>
          </w:tcPr>
          <w:p w:rsidR="00B24E31" w:rsidRPr="003D0FDB" w:rsidRDefault="00B24E31" w:rsidP="00A527C6">
            <w:pPr>
              <w:spacing w:before="40" w:after="40"/>
              <w:jc w:val="center"/>
              <w:rPr>
                <w:b/>
                <w:color w:val="FFFFFF" w:themeColor="background1"/>
              </w:rPr>
            </w:pPr>
            <w:r w:rsidRPr="003D0FDB">
              <w:rPr>
                <w:b/>
                <w:color w:val="FFFFFF" w:themeColor="background1"/>
              </w:rPr>
              <w:lastRenderedPageBreak/>
              <w:t xml:space="preserve">Tabela </w:t>
            </w:r>
            <w:r w:rsidR="001B04AC" w:rsidRPr="003D0FDB">
              <w:rPr>
                <w:b/>
                <w:color w:val="FFFFFF" w:themeColor="background1"/>
              </w:rPr>
              <w:fldChar w:fldCharType="begin"/>
            </w:r>
            <w:r w:rsidRPr="003D0FDB">
              <w:rPr>
                <w:b/>
                <w:color w:val="FFFFFF" w:themeColor="background1"/>
              </w:rPr>
              <w:instrText xml:space="preserve"> SEQ Tabela \* ARABIC </w:instrText>
            </w:r>
            <w:r w:rsidR="001B04AC" w:rsidRPr="003D0FDB">
              <w:rPr>
                <w:b/>
                <w:color w:val="FFFFFF" w:themeColor="background1"/>
              </w:rPr>
              <w:fldChar w:fldCharType="separate"/>
            </w:r>
            <w:r w:rsidR="00832320">
              <w:rPr>
                <w:b/>
                <w:noProof/>
                <w:color w:val="FFFFFF" w:themeColor="background1"/>
              </w:rPr>
              <w:t>3</w:t>
            </w:r>
            <w:r w:rsidR="001B04AC" w:rsidRPr="003D0FDB">
              <w:rPr>
                <w:b/>
                <w:color w:val="FFFFFF" w:themeColor="background1"/>
              </w:rPr>
              <w:fldChar w:fldCharType="end"/>
            </w:r>
            <w:r w:rsidRPr="003D0FDB">
              <w:rPr>
                <w:b/>
                <w:color w:val="FFFFFF" w:themeColor="background1"/>
              </w:rPr>
              <w:t>. Struktura alokacji w ramach osi EFRR</w:t>
            </w:r>
          </w:p>
        </w:tc>
      </w:tr>
      <w:tr w:rsidR="00B24E31" w:rsidRPr="00EF4988" w:rsidTr="00A527C6">
        <w:tc>
          <w:tcPr>
            <w:tcW w:w="4644" w:type="dxa"/>
            <w:tcBorders>
              <w:bottom w:val="nil"/>
              <w:right w:val="single" w:sz="4" w:space="0" w:color="BFBFBF" w:themeColor="background1" w:themeShade="BF"/>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I. Konkurencyjna i innowacyjna gospodarka</w:t>
            </w:r>
          </w:p>
        </w:tc>
        <w:tc>
          <w:tcPr>
            <w:tcW w:w="4644" w:type="dxa"/>
            <w:tcBorders>
              <w:left w:val="single" w:sz="4" w:space="0" w:color="BFBFBF" w:themeColor="background1" w:themeShade="BF"/>
              <w:bottom w:val="nil"/>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II. Cyfrowe Podkarpackie</w:t>
            </w:r>
          </w:p>
        </w:tc>
      </w:tr>
      <w:tr w:rsidR="00B24E31" w:rsidTr="00A527C6">
        <w:tc>
          <w:tcPr>
            <w:tcW w:w="4644" w:type="dxa"/>
            <w:tcBorders>
              <w:top w:val="nil"/>
              <w:bottom w:val="single" w:sz="4" w:space="0" w:color="BFBFBF" w:themeColor="background1" w:themeShade="BF"/>
              <w:right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158365"/>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c>
          <w:tcPr>
            <w:tcW w:w="4644" w:type="dxa"/>
            <w:tcBorders>
              <w:top w:val="nil"/>
              <w:left w:val="single" w:sz="4" w:space="0" w:color="BFBFBF" w:themeColor="background1" w:themeShade="BF"/>
              <w:bottom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83535" cy="215836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58365"/>
                          </a:xfrm>
                          <a:prstGeom prst="rect">
                            <a:avLst/>
                          </a:prstGeom>
                          <a:noFill/>
                        </pic:spPr>
                      </pic:pic>
                    </a:graphicData>
                  </a:graphic>
                </wp:inline>
              </w:drawing>
            </w:r>
          </w:p>
        </w:tc>
      </w:tr>
      <w:tr w:rsidR="00B24E31" w:rsidRPr="00EF4988" w:rsidTr="00A527C6">
        <w:tc>
          <w:tcPr>
            <w:tcW w:w="4644" w:type="dxa"/>
            <w:tcBorders>
              <w:top w:val="single" w:sz="4" w:space="0" w:color="BFBFBF" w:themeColor="background1" w:themeShade="BF"/>
              <w:bottom w:val="nil"/>
              <w:right w:val="single" w:sz="4" w:space="0" w:color="BFBFBF" w:themeColor="background1" w:themeShade="BF"/>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III. Czysta energia</w:t>
            </w:r>
          </w:p>
        </w:tc>
        <w:tc>
          <w:tcPr>
            <w:tcW w:w="4644" w:type="dxa"/>
            <w:tcBorders>
              <w:top w:val="single" w:sz="4" w:space="0" w:color="BFBFBF" w:themeColor="background1" w:themeShade="BF"/>
              <w:left w:val="single" w:sz="4" w:space="0" w:color="BFBFBF" w:themeColor="background1" w:themeShade="BF"/>
              <w:bottom w:val="nil"/>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IV. O</w:t>
            </w:r>
            <w:r>
              <w:rPr>
                <w:b/>
                <w:i/>
              </w:rPr>
              <w:t>chrona środowiska naturalnego i </w:t>
            </w:r>
            <w:r w:rsidRPr="00EF4988">
              <w:rPr>
                <w:b/>
                <w:i/>
              </w:rPr>
              <w:t>dziedzictwa kulturowego</w:t>
            </w:r>
          </w:p>
        </w:tc>
      </w:tr>
      <w:tr w:rsidR="00B24E31" w:rsidTr="00A527C6">
        <w:tc>
          <w:tcPr>
            <w:tcW w:w="4644" w:type="dxa"/>
            <w:tcBorders>
              <w:top w:val="nil"/>
              <w:bottom w:val="single" w:sz="4" w:space="0" w:color="BFBFBF" w:themeColor="background1" w:themeShade="BF"/>
              <w:right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164080"/>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64080"/>
                          </a:xfrm>
                          <a:prstGeom prst="rect">
                            <a:avLst/>
                          </a:prstGeom>
                          <a:noFill/>
                        </pic:spPr>
                      </pic:pic>
                    </a:graphicData>
                  </a:graphic>
                </wp:inline>
              </w:drawing>
            </w:r>
          </w:p>
        </w:tc>
        <w:tc>
          <w:tcPr>
            <w:tcW w:w="4644" w:type="dxa"/>
            <w:tcBorders>
              <w:top w:val="nil"/>
              <w:left w:val="single" w:sz="4" w:space="0" w:color="BFBFBF" w:themeColor="background1" w:themeShade="BF"/>
              <w:bottom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158365"/>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r>
      <w:tr w:rsidR="00B24E31" w:rsidRPr="00EF4988" w:rsidTr="00A527C6">
        <w:tc>
          <w:tcPr>
            <w:tcW w:w="4644"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V. Infrastruktura komunikacyjna</w:t>
            </w:r>
          </w:p>
        </w:tc>
        <w:tc>
          <w:tcPr>
            <w:tcW w:w="4644" w:type="dxa"/>
            <w:tcBorders>
              <w:top w:val="single" w:sz="4" w:space="0" w:color="BFBFBF" w:themeColor="background1" w:themeShade="BF"/>
              <w:left w:val="single" w:sz="4" w:space="0" w:color="BFBFBF" w:themeColor="background1" w:themeShade="BF"/>
              <w:bottom w:val="nil"/>
            </w:tcBorders>
            <w:shd w:val="clear" w:color="auto" w:fill="F2F2F2" w:themeFill="background1" w:themeFillShade="F2"/>
            <w:vAlign w:val="center"/>
          </w:tcPr>
          <w:p w:rsidR="00B24E31" w:rsidRPr="00EF4988" w:rsidRDefault="00B24E31" w:rsidP="00A527C6">
            <w:pPr>
              <w:spacing w:before="40" w:after="40"/>
              <w:jc w:val="center"/>
              <w:rPr>
                <w:b/>
                <w:i/>
              </w:rPr>
            </w:pPr>
            <w:r w:rsidRPr="00EF4988">
              <w:rPr>
                <w:b/>
                <w:i/>
              </w:rPr>
              <w:t>VI. Spójność społeczna i przestrzenna</w:t>
            </w:r>
          </w:p>
        </w:tc>
      </w:tr>
      <w:tr w:rsidR="00B24E31" w:rsidTr="00A527C6">
        <w:tc>
          <w:tcPr>
            <w:tcW w:w="4644" w:type="dxa"/>
            <w:tcBorders>
              <w:top w:val="nil"/>
              <w:left w:val="single" w:sz="4" w:space="0" w:color="BFBFBF" w:themeColor="background1" w:themeShade="BF"/>
              <w:right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83535" cy="2353310"/>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353310"/>
                          </a:xfrm>
                          <a:prstGeom prst="rect">
                            <a:avLst/>
                          </a:prstGeom>
                          <a:noFill/>
                        </pic:spPr>
                      </pic:pic>
                    </a:graphicData>
                  </a:graphic>
                </wp:inline>
              </w:drawing>
            </w:r>
          </w:p>
        </w:tc>
        <w:tc>
          <w:tcPr>
            <w:tcW w:w="4644" w:type="dxa"/>
            <w:tcBorders>
              <w:top w:val="nil"/>
              <w:left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353310"/>
                  <wp:effectExtent l="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353310"/>
                          </a:xfrm>
                          <a:prstGeom prst="rect">
                            <a:avLst/>
                          </a:prstGeom>
                          <a:noFill/>
                        </pic:spPr>
                      </pic:pic>
                    </a:graphicData>
                  </a:graphic>
                </wp:inline>
              </w:drawing>
            </w:r>
          </w:p>
        </w:tc>
      </w:tr>
      <w:tr w:rsidR="00B24E31" w:rsidTr="00A527C6">
        <w:tc>
          <w:tcPr>
            <w:tcW w:w="9288" w:type="dxa"/>
            <w:gridSpan w:val="2"/>
            <w:vAlign w:val="center"/>
          </w:tcPr>
          <w:p w:rsidR="00B24E31" w:rsidRPr="00F74048" w:rsidRDefault="00B24E31" w:rsidP="00A527C6">
            <w:pPr>
              <w:spacing w:before="40" w:after="40"/>
              <w:jc w:val="center"/>
              <w:rPr>
                <w:i/>
                <w:noProof/>
                <w:lang w:eastAsia="pl-PL"/>
              </w:rPr>
            </w:pPr>
            <w:r w:rsidRPr="00F74048">
              <w:rPr>
                <w:i/>
                <w:noProof/>
                <w:lang w:eastAsia="pl-PL"/>
              </w:rPr>
              <w:t>Źródło: Opracowanie własne</w:t>
            </w:r>
          </w:p>
        </w:tc>
      </w:tr>
    </w:tbl>
    <w:p w:rsidR="00B24E31" w:rsidRDefault="00B24E31" w:rsidP="00B24E31"/>
    <w:p w:rsidR="00B24E31" w:rsidRDefault="00B24E31" w:rsidP="006E6138">
      <w:pPr>
        <w:pStyle w:val="Akapitzlist"/>
        <w:numPr>
          <w:ilvl w:val="0"/>
          <w:numId w:val="52"/>
        </w:numPr>
        <w:contextualSpacing w:val="0"/>
      </w:pPr>
      <w:r>
        <w:lastRenderedPageBreak/>
        <w:t xml:space="preserve">Szczególnie pozytywnie należy  ocenić koncentrację tematyczną w obszarze energetyki i niskoemisyjnej gospodarki (OP3). Autorzy programu podjęli słuszną decyzję o przeznaczeniu całej alokacji wyłącznie na trzy priorytety inwestycyjne (łącznie 17% środków EFRR), rezygnując z oddzielnych instrumentów dla MŚP (które będą mogły otrzymać wsparcie w OP1) oraz dla instalacji </w:t>
      </w:r>
      <w:proofErr w:type="spellStart"/>
      <w:r>
        <w:t>kogeneracyjnych</w:t>
      </w:r>
      <w:proofErr w:type="spellEnd"/>
      <w:r>
        <w:t xml:space="preserve"> (powiązanie tej form wsparcia z odnawialnymi źródłami energii w PI 4.1). Trafnym rozwiązaniem jest także przeznaczanie relatywnie największej alokacji na zadania związane z efektywnością energetyczną w sektorze budownictwa  mieszkaniowego i budynków użyteczności publicznej, który charakteryzuje się dużym potencjałem obniżenia energochłonności oraz – w konsekwencji -  zmniejszenia emisji gazów cieplarnianych. </w:t>
      </w:r>
    </w:p>
    <w:p w:rsidR="00B24E31" w:rsidRDefault="00B24E31" w:rsidP="006E6138">
      <w:pPr>
        <w:pStyle w:val="Akapitzlist"/>
        <w:numPr>
          <w:ilvl w:val="0"/>
          <w:numId w:val="53"/>
        </w:numPr>
        <w:ind w:left="714" w:hanging="357"/>
        <w:contextualSpacing w:val="0"/>
      </w:pPr>
      <w:r>
        <w:t xml:space="preserve">Na działania związane ze środowiskiem naturalnym i dziedzictwem kulturowym przeznaczono łącznie około 13% alokacji EFRR. Zdecydowanie największą rolę odgrywać będą inwestycję dotyczące gospodarki wodno-ściekowej. Koncentracja na tym obszarze interwencji jest uzasadniona z uwagi na wciąż bardzo duże potrzeby inwestycje w zakresie dostosowania do wymogów akcesyjnych. Stosunkowo duży udział w alokacji mają instytucje kultury i obiekty dziedzictwa – przypisanie dużej wagi do działań w tym obszarze znajduje uzasadnienie w specyficznych potencjałach województwa oraz w zapisach regionalnych dokumentów strategicznych. </w:t>
      </w:r>
    </w:p>
    <w:p w:rsidR="00B24E31" w:rsidRDefault="00B24E31" w:rsidP="006E6138">
      <w:pPr>
        <w:pStyle w:val="Akapitzlist"/>
        <w:numPr>
          <w:ilvl w:val="0"/>
          <w:numId w:val="53"/>
        </w:numPr>
        <w:ind w:left="714" w:hanging="357"/>
        <w:contextualSpacing w:val="0"/>
      </w:pPr>
      <w:r>
        <w:t xml:space="preserve">Podobnie jak w okresie programowania 2007-2013, najwięcej środków EFRR przeznaczonych zostanie na inwestycje transportowe (choć ich procentowy udział będzie nieco mniejszy). Podtrzymanie dużej roli tego obszaru wynika z wciąż dużych potrzeb inwestycyjnych koniecznych do poprawy powiązań funkcjonalnych województwa. Ponad połowa środków zostanie przeznaczona na modernizację infrastruktury drogowej, w szczególności elementów sieci odpowiedzialnych za powiązanie regionu z siecią </w:t>
      </w:r>
      <w:proofErr w:type="spellStart"/>
      <w:r>
        <w:t>TEN-T</w:t>
      </w:r>
      <w:proofErr w:type="spellEnd"/>
      <w:r>
        <w:t xml:space="preserve">. Trzeba jednak zauważyć, że istotną rolą – większą niż w  RPO WP 2007-2013 - odgrywać będą gałęzie transportu charakteryzujące się mniejszym oddziaływaniem na środowisko: kolej, transport intermodalnych oraz niskoemisyjny transport miejski. </w:t>
      </w:r>
    </w:p>
    <w:p w:rsidR="00B24E31" w:rsidRDefault="00B24E31" w:rsidP="006E6138">
      <w:pPr>
        <w:pStyle w:val="Akapitzlist"/>
        <w:numPr>
          <w:ilvl w:val="0"/>
          <w:numId w:val="53"/>
        </w:numPr>
        <w:ind w:left="714" w:hanging="357"/>
        <w:contextualSpacing w:val="0"/>
      </w:pPr>
      <w:r>
        <w:t xml:space="preserve">Poziom wydatków jaki przewidziano na poszczególne działania w ramach podnoszenia spójności społecznej i przestrzennej wskazuje że prawidłowo i zasadnie dokonano </w:t>
      </w:r>
      <w:proofErr w:type="spellStart"/>
      <w:r>
        <w:t>priorytetyzacji</w:t>
      </w:r>
      <w:proofErr w:type="spellEnd"/>
      <w:r>
        <w:t xml:space="preserve"> kierunków inwestowania. Wydatki na infrastrukturę zdrowotną oraz społeczną stanowią 40% całości alokacji w ramach OP6. Zważywszy skalę problemów i deficytów jakie występują na poziomie województwa oraz przyszłych trendów demograficznych i</w:t>
      </w:r>
      <w:r w:rsidR="006E50D0">
        <w:t> </w:t>
      </w:r>
      <w:r>
        <w:t xml:space="preserve"> epidemiologicznych, potraktowanie tych obszarów priorytetowo jest w pełni uzasadnione. Słusznie też na działania z zakresu infrastruktury edukacyjnej przeznaczono drugą, co do wielkości alokację. </w:t>
      </w:r>
    </w:p>
    <w:p w:rsidR="00B24E31" w:rsidRDefault="00B24E31">
      <w:pPr>
        <w:jc w:val="left"/>
      </w:pPr>
      <w:r>
        <w:br w:type="page"/>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B24E31" w:rsidTr="00A527C6">
        <w:tc>
          <w:tcPr>
            <w:tcW w:w="9212" w:type="dxa"/>
          </w:tcPr>
          <w:p w:rsidR="00B24E31" w:rsidRDefault="00B24E31" w:rsidP="00A527C6">
            <w:pPr>
              <w:pStyle w:val="Legenda"/>
              <w:spacing w:before="120" w:after="120"/>
            </w:pPr>
            <w:r>
              <w:lastRenderedPageBreak/>
              <w:t xml:space="preserve">Wykres </w:t>
            </w:r>
            <w:r w:rsidR="001B04AC">
              <w:fldChar w:fldCharType="begin"/>
            </w:r>
            <w:r w:rsidR="008E1D74">
              <w:instrText xml:space="preserve"> SEQ Wykres \* ARABIC </w:instrText>
            </w:r>
            <w:r w:rsidR="001B04AC">
              <w:fldChar w:fldCharType="separate"/>
            </w:r>
            <w:r w:rsidR="00832320">
              <w:rPr>
                <w:noProof/>
              </w:rPr>
              <w:t>3</w:t>
            </w:r>
            <w:r w:rsidR="001B04AC">
              <w:rPr>
                <w:noProof/>
              </w:rPr>
              <w:fldChar w:fldCharType="end"/>
            </w:r>
            <w:r>
              <w:t>. Koncentracja tematyczna interwencji w ramach EFS</w:t>
            </w:r>
          </w:p>
        </w:tc>
      </w:tr>
      <w:tr w:rsidR="00B24E31" w:rsidTr="00A527C6">
        <w:tc>
          <w:tcPr>
            <w:tcW w:w="9212" w:type="dxa"/>
          </w:tcPr>
          <w:p w:rsidR="00B24E31" w:rsidRDefault="00B24E31" w:rsidP="00A527C6">
            <w:pPr>
              <w:jc w:val="center"/>
            </w:pPr>
            <w:r>
              <w:rPr>
                <w:noProof/>
                <w:lang w:eastAsia="pl-PL"/>
              </w:rPr>
              <w:drawing>
                <wp:inline distT="0" distB="0" distL="0" distR="0">
                  <wp:extent cx="4316095" cy="215836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6095" cy="2158365"/>
                          </a:xfrm>
                          <a:prstGeom prst="rect">
                            <a:avLst/>
                          </a:prstGeom>
                          <a:noFill/>
                        </pic:spPr>
                      </pic:pic>
                    </a:graphicData>
                  </a:graphic>
                </wp:inline>
              </w:drawing>
            </w:r>
          </w:p>
        </w:tc>
      </w:tr>
      <w:tr w:rsidR="00B24E31" w:rsidTr="00A527C6">
        <w:tc>
          <w:tcPr>
            <w:tcW w:w="9212" w:type="dxa"/>
          </w:tcPr>
          <w:p w:rsidR="00B24E31" w:rsidRDefault="00B24E31" w:rsidP="00A527C6">
            <w:pPr>
              <w:jc w:val="center"/>
            </w:pPr>
            <w:r w:rsidRPr="00F74048">
              <w:rPr>
                <w:i/>
                <w:noProof/>
                <w:lang w:eastAsia="pl-PL"/>
              </w:rPr>
              <w:t>Źródło: Opracowanie własne</w:t>
            </w:r>
          </w:p>
        </w:tc>
      </w:tr>
    </w:tbl>
    <w:p w:rsidR="00B24E31" w:rsidRDefault="00B24E31" w:rsidP="00B24E31"/>
    <w:p w:rsidR="00B24E31" w:rsidRDefault="00B24E31" w:rsidP="00B24E31">
      <w:r>
        <w:t>Struktura alokacji środków w ramach EFS jest słuszna i trafnie odzwierciedla skale wyzwań inwestycyjnych.</w:t>
      </w:r>
    </w:p>
    <w:p w:rsidR="00B24E31" w:rsidRDefault="00B24E31" w:rsidP="006E6138">
      <w:pPr>
        <w:pStyle w:val="Akapitzlist"/>
        <w:numPr>
          <w:ilvl w:val="0"/>
          <w:numId w:val="54"/>
        </w:numPr>
        <w:ind w:left="714" w:hanging="357"/>
        <w:contextualSpacing w:val="0"/>
      </w:pPr>
      <w:proofErr w:type="spellStart"/>
      <w:r>
        <w:t>Odziaływanie</w:t>
      </w:r>
      <w:proofErr w:type="spellEnd"/>
      <w:r>
        <w:t xml:space="preserve"> na regionalny rynek pracy będzie realizowane głównie poprzez wykorzystanie dwóch sprawdzonych w poprzednim okresie programowania mechanizmów: działań aktywizujących osoby  niepracujące, zwiększających ich szansę na zatrudnienie (PI 8.5) oraz wsparcia  tworzenia nowych miejsc pracy dzięki dotacjom i pożyczkom na rozpoczęcie działalności gospodarczej (PI 8.7).  Takie ukierunkowanie interwencji znajduje potwierdzenie zarówno w potrzebach zdiagnozowanych w regionie, jak i w dowiedzionej skuteczności podobnych rozwiązań wdrażanych w perspektywie finansowej 2007-2013. Istotną, choć znacznie mniejszą część alokacji przeznaczono na wsparcie osób pracujących </w:t>
      </w:r>
      <w:proofErr w:type="spellStart"/>
      <w:r>
        <w:t>iprzedsiębiorstw</w:t>
      </w:r>
      <w:proofErr w:type="spellEnd"/>
      <w:r>
        <w:t>, w tym także tych odczuwających negatywne skutki zmian rynkowych. Uzupełnieniem tych działań będą inicjatywy związane z tworzeniem miejsc opieki dla dzieci do lat 3, wspierające powrót na rynek pracy, oraz wsparcie w zakresie utrzymania i powrotu do  zdrowia.</w:t>
      </w:r>
    </w:p>
    <w:p w:rsidR="00B24E31" w:rsidRDefault="00B24E31" w:rsidP="006E6138">
      <w:pPr>
        <w:pStyle w:val="Akapitzlist"/>
        <w:numPr>
          <w:ilvl w:val="0"/>
          <w:numId w:val="54"/>
        </w:numPr>
        <w:ind w:left="714" w:hanging="357"/>
        <w:contextualSpacing w:val="0"/>
      </w:pPr>
      <w:r>
        <w:t>Działania w kierunku włączenia społecznego skupiono na trzech najważniejszych kwestiach, z</w:t>
      </w:r>
      <w:r w:rsidR="006E50D0">
        <w:t> </w:t>
      </w:r>
      <w:r>
        <w:t xml:space="preserve"> których każdej przydzielono podobną pulę środków z EFS. Przede wszystkim przewidziano działania nakierowane na programy aktywizacji spo</w:t>
      </w:r>
      <w:r w:rsidR="006E50D0">
        <w:t>łeczno-zawodowej osób będących w </w:t>
      </w:r>
      <w:r>
        <w:t xml:space="preserve"> szczególnie niekorzystnej sytuacji,  w tym realizowane przez pomioty integracji społecznej (PI 9.4). Szczególnie silnie w tym PI planowane jest wspieranie osób niepełnosprawnych i</w:t>
      </w:r>
      <w:r w:rsidR="006E50D0">
        <w:t> </w:t>
      </w:r>
      <w:r>
        <w:t xml:space="preserve"> rodzin doświadczających trudności. Ponad 1/3 środków planuje się przeznaczyć na obniżenie deficytów w zakresie najważniejszych usług społecznych (często skierowanych do osób zależnych i rodzin) i zdrowotnych (nastawionych na dzieci, kobiety w ciąży i osoby wymagające opieki długoterminowej). Podobną, choć nieco niższą kwotę alokowano na wzmocnienie podmiotów ekonomii społecznej, które dzięki temu będą mogły pełnić istotną rolę w aktywizacji osób w niekorzystnej sytuacji, dostarczać usługi użyteczności społecznej i</w:t>
      </w:r>
      <w:r w:rsidR="006E50D0">
        <w:t> </w:t>
      </w:r>
      <w:r>
        <w:t xml:space="preserve"> stać się ważnym pracodawcą w regionie. Powyższy stosunkowo równy podział znajduje uzasadnienie w zdiagnozowanych deficytach i potrzebach regionu.  </w:t>
      </w:r>
    </w:p>
    <w:p w:rsidR="00B24E31" w:rsidRDefault="00B24E31" w:rsidP="006E6138">
      <w:pPr>
        <w:pStyle w:val="Akapitzlist"/>
        <w:numPr>
          <w:ilvl w:val="0"/>
          <w:numId w:val="54"/>
        </w:numPr>
        <w:ind w:left="714" w:hanging="357"/>
        <w:contextualSpacing w:val="0"/>
      </w:pPr>
      <w:r>
        <w:lastRenderedPageBreak/>
        <w:t>Wydatki na wychowanie przedszkolne oraz na edukację stanowią największą część alokacji w</w:t>
      </w:r>
      <w:r w:rsidR="006E50D0">
        <w:t> </w:t>
      </w:r>
      <w:r>
        <w:t xml:space="preserve"> ramach OP10. Warto zauważyć, że żaden z priorytetów inwestycyjnych RPO nie uzyskał tak dużego procentowego udziału w alokacji w ramach osi. Przewidziane 72 mln € na rozwój przedszkoli i podniesienie jakości edukacji jest krokiem odważnym, ale jak najbardziej uzasadnionym. Jest to bowiem jeden z obszarów interwencji, od którego będzie zależała przyszłość gospodarcza regionu. Drugim obszarem interwencji pod względem udziału w</w:t>
      </w:r>
      <w:r w:rsidR="006E50D0">
        <w:t> </w:t>
      </w:r>
      <w:r>
        <w:t xml:space="preserve"> alokacji jest rozwój kształcenia zawodowego.  Wysokość środków przeznaczona na ten cel, wskazuje, że istnieje duże prawdopodobieństwo zniwelowania jednej z ważniejszych barier rozwojowych – braku odpowiednio wykwalifikowanej kadry, której kompetencje odpowiadają potrzebom podkarpackich przedsiębiorstw. </w:t>
      </w:r>
    </w:p>
    <w:p w:rsidR="00B24E31" w:rsidRDefault="00B24E31" w:rsidP="00B24E31">
      <w:pPr>
        <w:ind w:left="357"/>
      </w:pPr>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639"/>
        <w:gridCol w:w="4647"/>
      </w:tblGrid>
      <w:tr w:rsidR="00B24E31" w:rsidRPr="003D0FDB" w:rsidTr="00B24E31">
        <w:tc>
          <w:tcPr>
            <w:tcW w:w="9286" w:type="dxa"/>
            <w:gridSpan w:val="2"/>
            <w:tcBorders>
              <w:bottom w:val="single" w:sz="4" w:space="0" w:color="BFBFBF" w:themeColor="background1" w:themeShade="BF"/>
            </w:tcBorders>
            <w:shd w:val="clear" w:color="auto" w:fill="366092" w:themeFill="accent1"/>
            <w:vAlign w:val="center"/>
          </w:tcPr>
          <w:p w:rsidR="00B24E31" w:rsidRPr="003D0FDB" w:rsidRDefault="00B24E31" w:rsidP="00A527C6">
            <w:pPr>
              <w:spacing w:before="40" w:after="40"/>
              <w:jc w:val="center"/>
              <w:rPr>
                <w:b/>
                <w:color w:val="FFFFFF" w:themeColor="background1"/>
              </w:rPr>
            </w:pPr>
            <w:r>
              <w:br w:type="page"/>
            </w:r>
            <w:r w:rsidRPr="003D0FDB">
              <w:rPr>
                <w:b/>
                <w:color w:val="FFFFFF" w:themeColor="background1"/>
              </w:rPr>
              <w:t xml:space="preserve">Tabela </w:t>
            </w:r>
            <w:r w:rsidR="001B04AC" w:rsidRPr="003D0FDB">
              <w:rPr>
                <w:b/>
                <w:color w:val="FFFFFF" w:themeColor="background1"/>
              </w:rPr>
              <w:fldChar w:fldCharType="begin"/>
            </w:r>
            <w:r w:rsidRPr="003D0FDB">
              <w:rPr>
                <w:b/>
                <w:color w:val="FFFFFF" w:themeColor="background1"/>
              </w:rPr>
              <w:instrText xml:space="preserve"> SEQ Tabela \* ARABIC </w:instrText>
            </w:r>
            <w:r w:rsidR="001B04AC" w:rsidRPr="003D0FDB">
              <w:rPr>
                <w:b/>
                <w:color w:val="FFFFFF" w:themeColor="background1"/>
              </w:rPr>
              <w:fldChar w:fldCharType="separate"/>
            </w:r>
            <w:r w:rsidR="00832320">
              <w:rPr>
                <w:b/>
                <w:noProof/>
                <w:color w:val="FFFFFF" w:themeColor="background1"/>
              </w:rPr>
              <w:t>4</w:t>
            </w:r>
            <w:r w:rsidR="001B04AC" w:rsidRPr="003D0FDB">
              <w:rPr>
                <w:b/>
                <w:color w:val="FFFFFF" w:themeColor="background1"/>
              </w:rPr>
              <w:fldChar w:fldCharType="end"/>
            </w:r>
            <w:r w:rsidRPr="003D0FDB">
              <w:rPr>
                <w:b/>
                <w:color w:val="FFFFFF" w:themeColor="background1"/>
              </w:rPr>
              <w:t xml:space="preserve">. Struktura alokacji w ramach osi </w:t>
            </w:r>
            <w:r>
              <w:rPr>
                <w:b/>
                <w:color w:val="FFFFFF" w:themeColor="background1"/>
              </w:rPr>
              <w:t>EFS</w:t>
            </w:r>
          </w:p>
        </w:tc>
      </w:tr>
      <w:tr w:rsidR="00B24E31" w:rsidRPr="003D0FDB" w:rsidTr="00B24E31">
        <w:tc>
          <w:tcPr>
            <w:tcW w:w="4639" w:type="dxa"/>
            <w:tcBorders>
              <w:bottom w:val="nil"/>
              <w:right w:val="single" w:sz="4" w:space="0" w:color="BFBFBF" w:themeColor="background1" w:themeShade="BF"/>
            </w:tcBorders>
            <w:shd w:val="clear" w:color="auto" w:fill="F2F2F2" w:themeFill="background1" w:themeFillShade="F2"/>
            <w:vAlign w:val="center"/>
          </w:tcPr>
          <w:p w:rsidR="00B24E31" w:rsidRPr="003D0FDB" w:rsidRDefault="00B24E31" w:rsidP="00A527C6">
            <w:pPr>
              <w:spacing w:before="40" w:after="40"/>
              <w:jc w:val="center"/>
              <w:rPr>
                <w:b/>
              </w:rPr>
            </w:pPr>
            <w:r>
              <w:rPr>
                <w:b/>
              </w:rPr>
              <w:t>VII. Regionalny rynek pracy</w:t>
            </w:r>
          </w:p>
        </w:tc>
        <w:tc>
          <w:tcPr>
            <w:tcW w:w="4647" w:type="dxa"/>
            <w:tcBorders>
              <w:left w:val="single" w:sz="4" w:space="0" w:color="BFBFBF" w:themeColor="background1" w:themeShade="BF"/>
              <w:bottom w:val="nil"/>
            </w:tcBorders>
            <w:shd w:val="clear" w:color="auto" w:fill="F2F2F2" w:themeFill="background1" w:themeFillShade="F2"/>
            <w:vAlign w:val="center"/>
          </w:tcPr>
          <w:p w:rsidR="00B24E31" w:rsidRPr="003D0FDB" w:rsidRDefault="00B24E31" w:rsidP="00A527C6">
            <w:pPr>
              <w:spacing w:before="40" w:after="40"/>
              <w:jc w:val="center"/>
              <w:rPr>
                <w:b/>
              </w:rPr>
            </w:pPr>
            <w:r>
              <w:rPr>
                <w:b/>
              </w:rPr>
              <w:t>VIII. Integracja społeczna</w:t>
            </w:r>
          </w:p>
        </w:tc>
      </w:tr>
      <w:tr w:rsidR="00B24E31" w:rsidTr="00B24E31">
        <w:tc>
          <w:tcPr>
            <w:tcW w:w="4639" w:type="dxa"/>
            <w:tcBorders>
              <w:top w:val="nil"/>
              <w:bottom w:val="single" w:sz="4" w:space="0" w:color="BFBFBF" w:themeColor="background1" w:themeShade="BF"/>
              <w:right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15836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c>
          <w:tcPr>
            <w:tcW w:w="4647" w:type="dxa"/>
            <w:tcBorders>
              <w:top w:val="nil"/>
              <w:left w:val="single" w:sz="4" w:space="0" w:color="BFBFBF" w:themeColor="background1" w:themeShade="BF"/>
              <w:bottom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83535" cy="215836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58365"/>
                          </a:xfrm>
                          <a:prstGeom prst="rect">
                            <a:avLst/>
                          </a:prstGeom>
                          <a:noFill/>
                        </pic:spPr>
                      </pic:pic>
                    </a:graphicData>
                  </a:graphic>
                </wp:inline>
              </w:drawing>
            </w:r>
          </w:p>
        </w:tc>
      </w:tr>
      <w:tr w:rsidR="00B24E31" w:rsidRPr="003D0FDB" w:rsidTr="00B24E31">
        <w:tc>
          <w:tcPr>
            <w:tcW w:w="9286" w:type="dxa"/>
            <w:gridSpan w:val="2"/>
            <w:tcBorders>
              <w:top w:val="single" w:sz="4" w:space="0" w:color="BFBFBF" w:themeColor="background1" w:themeShade="BF"/>
              <w:bottom w:val="nil"/>
            </w:tcBorders>
            <w:shd w:val="clear" w:color="auto" w:fill="F2F2F2" w:themeFill="background1" w:themeFillShade="F2"/>
            <w:vAlign w:val="center"/>
          </w:tcPr>
          <w:p w:rsidR="00B24E31" w:rsidRPr="003D0FDB" w:rsidRDefault="00B24E31" w:rsidP="00A527C6">
            <w:pPr>
              <w:spacing w:before="40" w:after="40"/>
              <w:jc w:val="center"/>
              <w:rPr>
                <w:b/>
              </w:rPr>
            </w:pPr>
            <w:r>
              <w:rPr>
                <w:b/>
              </w:rPr>
              <w:t>IX. Jakoś edukacji i kompetencji w regionie</w:t>
            </w:r>
          </w:p>
        </w:tc>
      </w:tr>
      <w:tr w:rsidR="00B24E31" w:rsidTr="00B24E31">
        <w:tc>
          <w:tcPr>
            <w:tcW w:w="9286" w:type="dxa"/>
            <w:gridSpan w:val="2"/>
            <w:tcBorders>
              <w:top w:val="nil"/>
              <w:bottom w:val="single" w:sz="4" w:space="0" w:color="BFBFBF" w:themeColor="background1" w:themeShade="BF"/>
            </w:tcBorders>
            <w:vAlign w:val="center"/>
          </w:tcPr>
          <w:p w:rsidR="00B24E31" w:rsidRDefault="00B24E31" w:rsidP="00A527C6">
            <w:pPr>
              <w:spacing w:before="40" w:after="40"/>
              <w:jc w:val="center"/>
            </w:pPr>
            <w:r>
              <w:rPr>
                <w:noProof/>
                <w:lang w:eastAsia="pl-PL"/>
              </w:rPr>
              <w:drawing>
                <wp:inline distT="0" distB="0" distL="0" distR="0">
                  <wp:extent cx="2877820" cy="2158365"/>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r>
      <w:tr w:rsidR="00B24E31" w:rsidTr="00B24E31">
        <w:tc>
          <w:tcPr>
            <w:tcW w:w="9286" w:type="dxa"/>
            <w:gridSpan w:val="2"/>
            <w:vAlign w:val="center"/>
          </w:tcPr>
          <w:p w:rsidR="00B24E31" w:rsidRPr="00F74048" w:rsidRDefault="00B24E31" w:rsidP="00A527C6">
            <w:pPr>
              <w:spacing w:before="40" w:after="40"/>
              <w:jc w:val="center"/>
              <w:rPr>
                <w:i/>
                <w:noProof/>
                <w:lang w:eastAsia="pl-PL"/>
              </w:rPr>
            </w:pPr>
            <w:r w:rsidRPr="00F74048">
              <w:rPr>
                <w:i/>
                <w:noProof/>
                <w:lang w:eastAsia="pl-PL"/>
              </w:rPr>
              <w:t>Źródło: Opracowanie własne</w:t>
            </w:r>
          </w:p>
        </w:tc>
      </w:tr>
    </w:tbl>
    <w:p w:rsidR="00B24E31" w:rsidRDefault="00B24E31" w:rsidP="00B24E31"/>
    <w:p w:rsidR="00E015F3" w:rsidRDefault="00E015F3">
      <w:pPr>
        <w:jc w:val="left"/>
        <w:rPr>
          <w:rFonts w:asciiTheme="majorHAnsi" w:eastAsiaTheme="majorEastAsia" w:hAnsiTheme="majorHAnsi" w:cstheme="majorBidi"/>
          <w:b/>
          <w:bCs/>
          <w:color w:val="366092" w:themeColor="accent1"/>
          <w:sz w:val="26"/>
          <w:szCs w:val="26"/>
        </w:rPr>
      </w:pPr>
      <w:r>
        <w:br w:type="page"/>
      </w:r>
    </w:p>
    <w:p w:rsidR="00E015F3" w:rsidRDefault="00E015F3" w:rsidP="00E015F3">
      <w:pPr>
        <w:pStyle w:val="Nagwek2"/>
      </w:pPr>
      <w:bookmarkStart w:id="6" w:name="_Toc384914399"/>
      <w:r>
        <w:lastRenderedPageBreak/>
        <w:t>Oddziaływanie programu na sytuację społeczno-gospodarczą</w:t>
      </w:r>
      <w:bookmarkEnd w:id="6"/>
    </w:p>
    <w:p w:rsidR="00E015F3" w:rsidRDefault="00E015F3" w:rsidP="00E015F3">
      <w:pPr>
        <w:pStyle w:val="Nagwek3"/>
        <w:jc w:val="left"/>
      </w:pPr>
      <w:r>
        <w:t>Metodologia</w:t>
      </w:r>
    </w:p>
    <w:p w:rsidR="00E015F3" w:rsidRDefault="00E015F3" w:rsidP="00E015F3">
      <w:r>
        <w:t xml:space="preserve">Do oszacowania wpływu RPO województwa podkarpackiego na region wykorzystaliśmy wariant modelu </w:t>
      </w:r>
      <w:proofErr w:type="spellStart"/>
      <w:r>
        <w:t>EUImpactMod</w:t>
      </w:r>
      <w:proofErr w:type="spellEnd"/>
      <w:r>
        <w:t xml:space="preserve"> IV skalibrowany do parametrów regionalnych. Model ten jest wielosektorowym modelem DSGE.</w:t>
      </w:r>
      <w:r>
        <w:rPr>
          <w:rStyle w:val="Odwoanieprzypisudolnego"/>
        </w:rPr>
        <w:footnoteReference w:id="3"/>
      </w:r>
      <w:r>
        <w:t xml:space="preserve"> Dane dotyczące alokacji środków pomiędzy różne osie priorytetowe oraz ich rozkładu w czasie pochodzą z aktualnej wersji Umowy Partnerstwa na nadchodzący okres programowania oraz projektu RPO Województwa Podkarpackiego. Prognozy zmiennych makroekonomicznych pochodzą z obliczeń w ramach cyklicznego badania dla Ministerstwa Infrastruktury i Rozwoju. Dane dotyczące województwa, które posłużyły do kalibracji modelu do cech regionu, takie jak struktura zatrudnienia, zostały oszacowane na podstawie danych ogólnodostępnych.</w:t>
      </w:r>
    </w:p>
    <w:tbl>
      <w:tblPr>
        <w:tblStyle w:val="obiekt"/>
        <w:tblW w:w="5500" w:type="pct"/>
        <w:jc w:val="center"/>
        <w:tblLook w:val="04A0"/>
      </w:tblPr>
      <w:tblGrid>
        <w:gridCol w:w="5135"/>
        <w:gridCol w:w="5114"/>
      </w:tblGrid>
      <w:tr w:rsidR="00E015F3" w:rsidTr="00F77052">
        <w:trPr>
          <w:jc w:val="center"/>
        </w:trPr>
        <w:tc>
          <w:tcPr>
            <w:tcW w:w="4644" w:type="dxa"/>
            <w:hideMark/>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4</w:t>
            </w:r>
            <w:r w:rsidR="001B04AC">
              <w:rPr>
                <w:noProof/>
              </w:rPr>
              <w:fldChar w:fldCharType="end"/>
            </w:r>
            <w:r>
              <w:t xml:space="preserve">. Szacowana wielkość wydatków na RPO woj. podkarpackiego w podziale na kategorie interwencji (mln euro z 2011 </w:t>
            </w:r>
            <w:proofErr w:type="spellStart"/>
            <w:r>
              <w:t>r</w:t>
            </w:r>
            <w:proofErr w:type="spellEnd"/>
            <w:r>
              <w:t>).</w:t>
            </w:r>
          </w:p>
        </w:tc>
        <w:tc>
          <w:tcPr>
            <w:tcW w:w="4644" w:type="dxa"/>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5</w:t>
            </w:r>
            <w:r w:rsidR="001B04AC">
              <w:rPr>
                <w:noProof/>
              </w:rPr>
              <w:fldChar w:fldCharType="end"/>
            </w:r>
            <w:r>
              <w:t>. Szacowany podział wydatków na RPO woj. podkarpackiego na osie priorytetowe RPO (%).</w:t>
            </w:r>
          </w:p>
        </w:tc>
      </w:tr>
      <w:tr w:rsidR="00E015F3" w:rsidTr="00F77052">
        <w:trPr>
          <w:jc w:val="center"/>
        </w:trPr>
        <w:tc>
          <w:tcPr>
            <w:tcW w:w="4644" w:type="dxa"/>
            <w:hideMark/>
          </w:tcPr>
          <w:p w:rsidR="00E015F3" w:rsidRDefault="00E015F3" w:rsidP="00424449">
            <w:pPr>
              <w:keepNext/>
              <w:jc w:val="center"/>
            </w:pPr>
            <w:r>
              <w:rPr>
                <w:noProof/>
                <w:lang w:eastAsia="pl-PL"/>
              </w:rPr>
              <w:drawing>
                <wp:inline distT="0" distB="0" distL="0" distR="0">
                  <wp:extent cx="2877820" cy="2158365"/>
                  <wp:effectExtent l="1905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c>
          <w:tcPr>
            <w:tcW w:w="4644" w:type="dxa"/>
          </w:tcPr>
          <w:p w:rsidR="00E015F3" w:rsidRDefault="00E015F3" w:rsidP="00424449">
            <w:pPr>
              <w:keepNext/>
              <w:jc w:val="center"/>
            </w:pPr>
            <w:r>
              <w:rPr>
                <w:noProof/>
                <w:lang w:eastAsia="pl-PL"/>
              </w:rPr>
              <w:drawing>
                <wp:inline distT="0" distB="0" distL="0" distR="0">
                  <wp:extent cx="2883535" cy="2158365"/>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58365"/>
                          </a:xfrm>
                          <a:prstGeom prst="rect">
                            <a:avLst/>
                          </a:prstGeom>
                          <a:noFill/>
                        </pic:spPr>
                      </pic:pic>
                    </a:graphicData>
                  </a:graphic>
                </wp:inline>
              </w:drawing>
            </w:r>
          </w:p>
        </w:tc>
      </w:tr>
      <w:tr w:rsidR="00E015F3" w:rsidTr="00F77052">
        <w:trPr>
          <w:jc w:val="center"/>
        </w:trPr>
        <w:tc>
          <w:tcPr>
            <w:tcW w:w="4644" w:type="dxa"/>
            <w:hideMark/>
          </w:tcPr>
          <w:p w:rsidR="00E015F3" w:rsidRDefault="00E015F3" w:rsidP="00424449">
            <w:pPr>
              <w:pStyle w:val="rdo"/>
            </w:pPr>
            <w:r>
              <w:t>Źródło: Opracowanie własne na podstawie danych MIR.</w:t>
            </w:r>
          </w:p>
        </w:tc>
        <w:tc>
          <w:tcPr>
            <w:tcW w:w="4644" w:type="dxa"/>
          </w:tcPr>
          <w:p w:rsidR="00E015F3" w:rsidRDefault="00E015F3" w:rsidP="000E7466">
            <w:pPr>
              <w:pStyle w:val="rdo"/>
            </w:pPr>
            <w:r>
              <w:t xml:space="preserve">Źródło: Opracowanie własne na podstawie danych MIR i </w:t>
            </w:r>
            <w:r w:rsidR="000E7466">
              <w:t>UMWP</w:t>
            </w:r>
            <w:r>
              <w:t>.</w:t>
            </w:r>
          </w:p>
        </w:tc>
      </w:tr>
    </w:tbl>
    <w:p w:rsidR="00E015F3" w:rsidRDefault="00E015F3" w:rsidP="00E015F3"/>
    <w:p w:rsidR="00E015F3" w:rsidRDefault="00E015F3" w:rsidP="00E015F3">
      <w:r>
        <w:t xml:space="preserve">Powyższe wykresy nakreślają strukturę środków przeznaczonych na nadchodzącą perspektywę. Wykres po lewej przedstawia strukturę wydatków w czasie w podziale na trzy podstawowe kategorie interwencji – bezpośrednie wsparcie sektora produkcyjnego (BSP), infrastrukturę podstawową (IP) oraz rozwój zasobów ludzkich (RZL). W ramach RPO wydanych ma zostać ok. 5 mld euro (w cenach stałych z 2011 r.), z czego aż 55% przypadać będzie na działania związane z infrastrukturą podstawową. Na bezpośrednie wsparcie przedsiębiorstw oraz rozwój zasobów ludzkich ma być </w:t>
      </w:r>
      <w:r>
        <w:lastRenderedPageBreak/>
        <w:t>przeznaczone odpowiednio 25% i 20%. Wielkość wydatków będzie rosła w czasie do 2020 r., ale zgodnie z założeniami Umowy Partnerstwa, ostatnie środki z RPO zostaną rozdysponowane w 2023 r.</w:t>
      </w:r>
    </w:p>
    <w:p w:rsidR="00E015F3" w:rsidRDefault="00E015F3" w:rsidP="00E015F3">
      <w:r>
        <w:t xml:space="preserve">Na wykresie po prawej stronie widnieje podział planowanych wydatków pomiędzy poszczególne osie priorytetowe. Każdej z osi przypisano kategorię interwencji (włącznie z pomocą techniczną – PT), która stanowi największą część wydatków. To przyporządkowanie nie jest jednakże dokładne – przykładowo, na potrzeby modelu niektóre priorytety w osi 7. zostały zakwalifikowane jako BSP – stąd rozbieżności między podziałem między priorytety inwestycyjne na wykresie a prawdziwymi alokacjami. Największe wydatki zaplanowane są w </w:t>
      </w:r>
      <w:r w:rsidR="00FD5E31">
        <w:t>6 osi priorytetowej</w:t>
      </w:r>
      <w:r>
        <w:t xml:space="preserve"> (Spójność przestrzenna i</w:t>
      </w:r>
      <w:r w:rsidR="006E50D0">
        <w:t> </w:t>
      </w:r>
      <w:r>
        <w:t xml:space="preserve"> społeczna) – ponad 400 mln euro oraz 1. (Konkurencyjna i innowacyjna gospodarka) – 374 mln euro.</w:t>
      </w:r>
    </w:p>
    <w:p w:rsidR="00E015F3" w:rsidRDefault="00E015F3" w:rsidP="00E015F3">
      <w:pPr>
        <w:pStyle w:val="Nagwek3"/>
        <w:jc w:val="left"/>
      </w:pPr>
      <w:r>
        <w:t>Wyniki</w:t>
      </w:r>
    </w:p>
    <w:tbl>
      <w:tblPr>
        <w:tblStyle w:val="obiekt"/>
        <w:tblW w:w="5500" w:type="pct"/>
        <w:jc w:val="center"/>
        <w:tblLook w:val="04A0"/>
      </w:tblPr>
      <w:tblGrid>
        <w:gridCol w:w="5114"/>
        <w:gridCol w:w="5105"/>
      </w:tblGrid>
      <w:tr w:rsidR="00E015F3" w:rsidTr="00F77052">
        <w:trPr>
          <w:jc w:val="center"/>
        </w:trPr>
        <w:tc>
          <w:tcPr>
            <w:tcW w:w="4644" w:type="dxa"/>
            <w:hideMark/>
          </w:tcPr>
          <w:p w:rsidR="00E015F3" w:rsidRPr="00F43894"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6</w:t>
            </w:r>
            <w:r w:rsidR="001B04AC">
              <w:rPr>
                <w:noProof/>
              </w:rPr>
              <w:fldChar w:fldCharType="end"/>
            </w:r>
            <w:r>
              <w:t xml:space="preserve">. PKB/os. </w:t>
            </w:r>
            <w:r w:rsidRPr="00F43894">
              <w:t xml:space="preserve">w scenariuszu z RPO i bez RPO </w:t>
            </w:r>
            <w:r>
              <w:t>jako % średniej UE-27 (lewa oś, EU=100</w:t>
            </w:r>
            <w:r w:rsidRPr="00F43894">
              <w:t xml:space="preserve">) i wpływ RPO na </w:t>
            </w:r>
            <w:r>
              <w:t xml:space="preserve">PKB/os. </w:t>
            </w:r>
            <w:r w:rsidRPr="00F43894">
              <w:t xml:space="preserve">(prawa oś, </w:t>
            </w:r>
            <w:proofErr w:type="spellStart"/>
            <w:r w:rsidRPr="00F43894">
              <w:t>p.p</w:t>
            </w:r>
            <w:proofErr w:type="spellEnd"/>
            <w:r w:rsidRPr="00F43894">
              <w:t>.) w woj. podkarpackim.</w:t>
            </w:r>
          </w:p>
        </w:tc>
        <w:tc>
          <w:tcPr>
            <w:tcW w:w="4644" w:type="dxa"/>
            <w:hideMark/>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7</w:t>
            </w:r>
            <w:r w:rsidR="001B04AC">
              <w:rPr>
                <w:noProof/>
              </w:rPr>
              <w:fldChar w:fldCharType="end"/>
            </w:r>
            <w:r>
              <w:t>. Stopa inwestycji w scenariuszu z RPO i bez RPO (lewa oś, %</w:t>
            </w:r>
            <w:r w:rsidRPr="00F43894">
              <w:t xml:space="preserve">) i wpływ RPO na </w:t>
            </w:r>
            <w:r>
              <w:t xml:space="preserve">stopę inwestycji </w:t>
            </w:r>
            <w:r w:rsidRPr="00F43894">
              <w:t xml:space="preserve">(prawa oś, </w:t>
            </w:r>
            <w:proofErr w:type="spellStart"/>
            <w:r w:rsidRPr="00F43894">
              <w:t>p.p</w:t>
            </w:r>
            <w:proofErr w:type="spellEnd"/>
            <w:r w:rsidRPr="00F43894">
              <w:t>.) w woj. podkarpackim.</w:t>
            </w:r>
          </w:p>
        </w:tc>
      </w:tr>
      <w:tr w:rsidR="00E015F3" w:rsidTr="00F77052">
        <w:trPr>
          <w:jc w:val="center"/>
        </w:trPr>
        <w:tc>
          <w:tcPr>
            <w:tcW w:w="4644" w:type="dxa"/>
            <w:hideMark/>
          </w:tcPr>
          <w:p w:rsidR="00E015F3" w:rsidRDefault="00E015F3" w:rsidP="00424449">
            <w:r>
              <w:rPr>
                <w:noProof/>
                <w:lang w:eastAsia="pl-PL"/>
              </w:rPr>
              <w:drawing>
                <wp:inline distT="0" distB="0" distL="0" distR="0">
                  <wp:extent cx="2883535" cy="215836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58365"/>
                          </a:xfrm>
                          <a:prstGeom prst="rect">
                            <a:avLst/>
                          </a:prstGeom>
                          <a:noFill/>
                        </pic:spPr>
                      </pic:pic>
                    </a:graphicData>
                  </a:graphic>
                </wp:inline>
              </w:drawing>
            </w:r>
          </w:p>
        </w:tc>
        <w:tc>
          <w:tcPr>
            <w:tcW w:w="4644" w:type="dxa"/>
            <w:hideMark/>
          </w:tcPr>
          <w:p w:rsidR="00E015F3" w:rsidRDefault="00E015F3" w:rsidP="00424449">
            <w:r>
              <w:rPr>
                <w:noProof/>
                <w:lang w:eastAsia="pl-PL"/>
              </w:rPr>
              <w:drawing>
                <wp:inline distT="0" distB="0" distL="0" distR="0">
                  <wp:extent cx="2877820" cy="215836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r>
      <w:tr w:rsidR="00E015F3" w:rsidTr="00F77052">
        <w:trPr>
          <w:jc w:val="center"/>
        </w:trPr>
        <w:tc>
          <w:tcPr>
            <w:tcW w:w="4644" w:type="dxa"/>
            <w:hideMark/>
          </w:tcPr>
          <w:p w:rsidR="00E015F3" w:rsidRDefault="00E015F3" w:rsidP="00424449">
            <w:pPr>
              <w:pStyle w:val="rdo"/>
            </w:pPr>
            <w:r>
              <w:t>Źródło: Opracowanie własne.</w:t>
            </w:r>
          </w:p>
        </w:tc>
        <w:tc>
          <w:tcPr>
            <w:tcW w:w="4644" w:type="dxa"/>
            <w:hideMark/>
          </w:tcPr>
          <w:p w:rsidR="00E015F3" w:rsidRDefault="00E015F3" w:rsidP="00424449">
            <w:pPr>
              <w:pStyle w:val="rdo"/>
            </w:pPr>
            <w:r>
              <w:t>Źródło: Opracowanie własne.</w:t>
            </w:r>
          </w:p>
        </w:tc>
      </w:tr>
    </w:tbl>
    <w:p w:rsidR="00E015F3" w:rsidRDefault="00E015F3" w:rsidP="00E015F3">
      <w:r>
        <w:t xml:space="preserve">Województwo podkarpackie silnie odczuje wpływ funduszy spójności. PKB na osobę będzie za ich sprawą wyższy średniorocznie o 0,9 </w:t>
      </w:r>
      <w:proofErr w:type="spellStart"/>
      <w:r>
        <w:t>p.p</w:t>
      </w:r>
      <w:proofErr w:type="spellEnd"/>
      <w:r>
        <w:t>. w stosunku do średniej UE-27 w okresie 2014-2023. To oznacza, że w roku 2023 PKB/os. w województwie osiągnie wielkość 51,5% średniej unijnej w</w:t>
      </w:r>
      <w:r w:rsidR="006E50D0">
        <w:t> </w:t>
      </w:r>
      <w:r>
        <w:t xml:space="preserve"> porównaniu z 51,1% w scenariuszu bez RPO.</w:t>
      </w:r>
    </w:p>
    <w:p w:rsidR="00E015F3" w:rsidRDefault="00E015F3" w:rsidP="00E015F3">
      <w:r>
        <w:t xml:space="preserve">Oddziaływanie funduszy europejskich odciśnie się dużo silniej na wielkości inwestycji. Stopa inwestycji będzie aż 2,8 </w:t>
      </w:r>
      <w:proofErr w:type="spellStart"/>
      <w:r>
        <w:t>p.p</w:t>
      </w:r>
      <w:proofErr w:type="spellEnd"/>
      <w:r>
        <w:t xml:space="preserve">. wyższa w okresie 2014-2023. W 2017 r. gdy wpływ będzie największy, wyniesie on 4,5 </w:t>
      </w:r>
      <w:proofErr w:type="spellStart"/>
      <w:r>
        <w:t>p.p</w:t>
      </w:r>
      <w:proofErr w:type="spellEnd"/>
      <w:r>
        <w:t>.</w:t>
      </w:r>
    </w:p>
    <w:tbl>
      <w:tblPr>
        <w:tblStyle w:val="obiekt"/>
        <w:tblW w:w="5500" w:type="pct"/>
        <w:jc w:val="center"/>
        <w:tblLook w:val="04A0"/>
      </w:tblPr>
      <w:tblGrid>
        <w:gridCol w:w="5107"/>
        <w:gridCol w:w="5108"/>
      </w:tblGrid>
      <w:tr w:rsidR="00E015F3" w:rsidTr="00F77052">
        <w:trPr>
          <w:jc w:val="center"/>
        </w:trPr>
        <w:tc>
          <w:tcPr>
            <w:tcW w:w="4644" w:type="dxa"/>
            <w:hideMark/>
          </w:tcPr>
          <w:p w:rsidR="00E015F3" w:rsidRDefault="00E015F3" w:rsidP="00424449">
            <w:pPr>
              <w:pStyle w:val="Legenda"/>
              <w:keepNext/>
            </w:pPr>
            <w:r>
              <w:lastRenderedPageBreak/>
              <w:t xml:space="preserve">Wykres </w:t>
            </w:r>
            <w:r w:rsidR="001B04AC">
              <w:fldChar w:fldCharType="begin"/>
            </w:r>
            <w:r w:rsidR="008E1D74">
              <w:instrText xml:space="preserve"> SEQ Wykres \* ARABIC </w:instrText>
            </w:r>
            <w:r w:rsidR="001B04AC">
              <w:fldChar w:fldCharType="separate"/>
            </w:r>
            <w:r w:rsidR="00832320">
              <w:rPr>
                <w:noProof/>
              </w:rPr>
              <w:t>8</w:t>
            </w:r>
            <w:r w:rsidR="001B04AC">
              <w:rPr>
                <w:noProof/>
              </w:rPr>
              <w:fldChar w:fldCharType="end"/>
            </w:r>
            <w:r>
              <w:t xml:space="preserve">. Wskaźnik zatrudnienia w scenariuszu z RPO i bez RPO (lewa oś, %) i wpływ RPO na wskaźnik zatrudnienia (prawa oś, </w:t>
            </w:r>
            <w:proofErr w:type="spellStart"/>
            <w:r>
              <w:t>p.p</w:t>
            </w:r>
            <w:proofErr w:type="spellEnd"/>
            <w:r>
              <w:t>.) w woj. podkarpackim.</w:t>
            </w:r>
          </w:p>
        </w:tc>
        <w:tc>
          <w:tcPr>
            <w:tcW w:w="4644" w:type="dxa"/>
            <w:hideMark/>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9</w:t>
            </w:r>
            <w:r w:rsidR="001B04AC">
              <w:rPr>
                <w:noProof/>
              </w:rPr>
              <w:fldChar w:fldCharType="end"/>
            </w:r>
            <w:r>
              <w:t xml:space="preserve">. Stopa bezrobocia w scenariuszu z RPO i bez RPO (lewa oś, %) i wpływ RPO na stopę bezrobocia (prawa oś, </w:t>
            </w:r>
            <w:proofErr w:type="spellStart"/>
            <w:r>
              <w:t>p.p</w:t>
            </w:r>
            <w:proofErr w:type="spellEnd"/>
            <w:r>
              <w:t>.) w woj. podkarpackim.</w:t>
            </w:r>
          </w:p>
        </w:tc>
      </w:tr>
      <w:tr w:rsidR="00E015F3" w:rsidTr="00F77052">
        <w:trPr>
          <w:jc w:val="center"/>
        </w:trPr>
        <w:tc>
          <w:tcPr>
            <w:tcW w:w="4644" w:type="dxa"/>
            <w:hideMark/>
          </w:tcPr>
          <w:p w:rsidR="00E015F3" w:rsidRDefault="00E015F3" w:rsidP="00424449">
            <w:r>
              <w:rPr>
                <w:noProof/>
                <w:lang w:eastAsia="pl-PL"/>
              </w:rPr>
              <w:drawing>
                <wp:inline distT="0" distB="0" distL="0" distR="0">
                  <wp:extent cx="2877820" cy="215836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c>
          <w:tcPr>
            <w:tcW w:w="4644" w:type="dxa"/>
            <w:hideMark/>
          </w:tcPr>
          <w:p w:rsidR="00E015F3" w:rsidRDefault="00E015F3" w:rsidP="00424449">
            <w:r>
              <w:rPr>
                <w:noProof/>
                <w:lang w:eastAsia="pl-PL"/>
              </w:rPr>
              <w:drawing>
                <wp:inline distT="0" distB="0" distL="0" distR="0">
                  <wp:extent cx="2877820" cy="2158365"/>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r>
      <w:tr w:rsidR="00E015F3" w:rsidTr="00F77052">
        <w:trPr>
          <w:jc w:val="center"/>
        </w:trPr>
        <w:tc>
          <w:tcPr>
            <w:tcW w:w="4644" w:type="dxa"/>
            <w:hideMark/>
          </w:tcPr>
          <w:p w:rsidR="00E015F3" w:rsidRDefault="00E015F3" w:rsidP="00424449">
            <w:pPr>
              <w:pStyle w:val="rdo"/>
            </w:pPr>
            <w:r>
              <w:t>Źródło: Opracowanie własne.</w:t>
            </w:r>
          </w:p>
        </w:tc>
        <w:tc>
          <w:tcPr>
            <w:tcW w:w="4644" w:type="dxa"/>
            <w:hideMark/>
          </w:tcPr>
          <w:p w:rsidR="00E015F3" w:rsidRDefault="00E015F3" w:rsidP="00424449">
            <w:pPr>
              <w:pStyle w:val="rdo"/>
            </w:pPr>
            <w:r>
              <w:t>Źródło: Opracowanie własne.</w:t>
            </w:r>
          </w:p>
        </w:tc>
      </w:tr>
    </w:tbl>
    <w:p w:rsidR="00E015F3" w:rsidRDefault="00E015F3" w:rsidP="00E015F3">
      <w:r>
        <w:t xml:space="preserve">Rynek pracy zmieni się pozytywnie za sprawą RPO. Wskaźnik zatrudnienia będzie wyższy o 1,3 </w:t>
      </w:r>
      <w:proofErr w:type="spellStart"/>
      <w:r>
        <w:t>p.p</w:t>
      </w:r>
      <w:proofErr w:type="spellEnd"/>
      <w:r>
        <w:t>. średnio w badanym okresie. Wpływ ten będzie jednak od 2018 stopniowo malał do zera wraz z</w:t>
      </w:r>
      <w:r w:rsidR="006E50D0">
        <w:t> </w:t>
      </w:r>
      <w:r>
        <w:t xml:space="preserve"> zmniejszaniem napływu środków.</w:t>
      </w:r>
    </w:p>
    <w:p w:rsidR="00E015F3" w:rsidRDefault="00E015F3" w:rsidP="00E015F3">
      <w:r>
        <w:t xml:space="preserve">Stopa bezrobocia będzie niższa pod wpływem funduszy z Programu. Średnio wpływ ten będzie wynosił 0,8 </w:t>
      </w:r>
      <w:proofErr w:type="spellStart"/>
      <w:r>
        <w:t>p.p</w:t>
      </w:r>
      <w:proofErr w:type="spellEnd"/>
      <w:r>
        <w:t xml:space="preserve">. rocznie. Najsilniej oddziaływanie RPO da się odczuć w roku 2017, gdy stopa bezrobocia będzie niższa o 1,5 </w:t>
      </w:r>
      <w:proofErr w:type="spellStart"/>
      <w:r>
        <w:t>p.p</w:t>
      </w:r>
      <w:proofErr w:type="spellEnd"/>
      <w:r>
        <w:t>.</w:t>
      </w:r>
    </w:p>
    <w:tbl>
      <w:tblPr>
        <w:tblStyle w:val="obiekt"/>
        <w:tblW w:w="5500" w:type="pct"/>
        <w:jc w:val="center"/>
        <w:tblLook w:val="04A0"/>
      </w:tblPr>
      <w:tblGrid>
        <w:gridCol w:w="5114"/>
        <w:gridCol w:w="5114"/>
      </w:tblGrid>
      <w:tr w:rsidR="00E015F3" w:rsidTr="00F77052">
        <w:trPr>
          <w:jc w:val="center"/>
        </w:trPr>
        <w:tc>
          <w:tcPr>
            <w:tcW w:w="4644" w:type="dxa"/>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10</w:t>
            </w:r>
            <w:r w:rsidR="001B04AC">
              <w:rPr>
                <w:noProof/>
              </w:rPr>
              <w:fldChar w:fldCharType="end"/>
            </w:r>
            <w:r>
              <w:t>. Wpływ RPO na PKB/os. w woj. podkarpackim jako % średniej UE-27 w podziale na osie priorytetowe RPO (</w:t>
            </w:r>
            <w:proofErr w:type="spellStart"/>
            <w:r>
              <w:t>p.p</w:t>
            </w:r>
            <w:proofErr w:type="spellEnd"/>
            <w:r>
              <w:t>.).</w:t>
            </w:r>
          </w:p>
        </w:tc>
        <w:tc>
          <w:tcPr>
            <w:tcW w:w="4644" w:type="dxa"/>
          </w:tcPr>
          <w:p w:rsidR="00E015F3" w:rsidRDefault="00E015F3" w:rsidP="00424449">
            <w:pPr>
              <w:pStyle w:val="Legenda"/>
              <w:keepNext/>
            </w:pPr>
            <w:r>
              <w:t xml:space="preserve">Wykres </w:t>
            </w:r>
            <w:r w:rsidR="001B04AC">
              <w:fldChar w:fldCharType="begin"/>
            </w:r>
            <w:r w:rsidR="008E1D74">
              <w:instrText xml:space="preserve"> SEQ Wykres \* ARABIC </w:instrText>
            </w:r>
            <w:r w:rsidR="001B04AC">
              <w:fldChar w:fldCharType="separate"/>
            </w:r>
            <w:r w:rsidR="00832320">
              <w:rPr>
                <w:noProof/>
              </w:rPr>
              <w:t>11</w:t>
            </w:r>
            <w:r w:rsidR="001B04AC">
              <w:rPr>
                <w:noProof/>
              </w:rPr>
              <w:fldChar w:fldCharType="end"/>
            </w:r>
            <w:r>
              <w:t>. Wpływ RPO na wskaźnik zatrudnienia w woj. podkarpackim w podziale na osie priorytetowe RPO (</w:t>
            </w:r>
            <w:proofErr w:type="spellStart"/>
            <w:r>
              <w:t>p.p</w:t>
            </w:r>
            <w:proofErr w:type="spellEnd"/>
            <w:r>
              <w:t>.).</w:t>
            </w:r>
          </w:p>
        </w:tc>
      </w:tr>
      <w:tr w:rsidR="00E015F3" w:rsidTr="00F77052">
        <w:trPr>
          <w:jc w:val="center"/>
        </w:trPr>
        <w:tc>
          <w:tcPr>
            <w:tcW w:w="4644" w:type="dxa"/>
          </w:tcPr>
          <w:p w:rsidR="00E015F3" w:rsidRDefault="00E015F3" w:rsidP="00424449">
            <w:r>
              <w:rPr>
                <w:noProof/>
                <w:lang w:eastAsia="pl-PL"/>
              </w:rPr>
              <w:drawing>
                <wp:inline distT="0" distB="0" distL="0" distR="0">
                  <wp:extent cx="2883535" cy="2164080"/>
                  <wp:effectExtent l="0" t="0" r="0" b="762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64080"/>
                          </a:xfrm>
                          <a:prstGeom prst="rect">
                            <a:avLst/>
                          </a:prstGeom>
                          <a:noFill/>
                        </pic:spPr>
                      </pic:pic>
                    </a:graphicData>
                  </a:graphic>
                </wp:inline>
              </w:drawing>
            </w:r>
          </w:p>
        </w:tc>
        <w:tc>
          <w:tcPr>
            <w:tcW w:w="4644" w:type="dxa"/>
          </w:tcPr>
          <w:p w:rsidR="00E015F3" w:rsidRDefault="00E015F3" w:rsidP="00424449">
            <w:r>
              <w:rPr>
                <w:noProof/>
                <w:lang w:eastAsia="pl-PL"/>
              </w:rPr>
              <w:drawing>
                <wp:inline distT="0" distB="0" distL="0" distR="0">
                  <wp:extent cx="2883535" cy="2158365"/>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3535" cy="2158365"/>
                          </a:xfrm>
                          <a:prstGeom prst="rect">
                            <a:avLst/>
                          </a:prstGeom>
                          <a:noFill/>
                        </pic:spPr>
                      </pic:pic>
                    </a:graphicData>
                  </a:graphic>
                </wp:inline>
              </w:drawing>
            </w:r>
          </w:p>
        </w:tc>
      </w:tr>
      <w:tr w:rsidR="00E015F3" w:rsidTr="00F77052">
        <w:trPr>
          <w:jc w:val="center"/>
        </w:trPr>
        <w:tc>
          <w:tcPr>
            <w:tcW w:w="4644" w:type="dxa"/>
          </w:tcPr>
          <w:p w:rsidR="00E015F3" w:rsidRDefault="00E015F3" w:rsidP="00424449">
            <w:pPr>
              <w:pStyle w:val="rdo"/>
            </w:pPr>
            <w:r>
              <w:t>Źródło: Opracowanie własne.</w:t>
            </w:r>
          </w:p>
        </w:tc>
        <w:tc>
          <w:tcPr>
            <w:tcW w:w="4644" w:type="dxa"/>
          </w:tcPr>
          <w:p w:rsidR="00E015F3" w:rsidRDefault="00E015F3" w:rsidP="00424449">
            <w:pPr>
              <w:pStyle w:val="rdo"/>
            </w:pPr>
            <w:r>
              <w:t>Źródło: Opracowanie własne.</w:t>
            </w:r>
          </w:p>
        </w:tc>
      </w:tr>
    </w:tbl>
    <w:p w:rsidR="00E015F3" w:rsidRDefault="00E015F3" w:rsidP="00E015F3"/>
    <w:p w:rsidR="00E015F3" w:rsidRDefault="00E015F3">
      <w:pPr>
        <w:jc w:val="left"/>
      </w:pPr>
      <w:r>
        <w:br w:type="page"/>
      </w:r>
    </w:p>
    <w:p w:rsidR="00E015F3" w:rsidRDefault="00E015F3" w:rsidP="00E015F3">
      <w:r w:rsidRPr="00E015F3">
        <w:lastRenderedPageBreak/>
        <w:t>Powyższe wykresy przedstawiają wpływ RPO na PKB/os. oraz na wskaźnik zatrudnienia poszczególnych osi priorytetowych. Wkład ten jest w dużej mierze proporcjonalny do wielkości alokacji, ale występują pewne różnice wynikające z innej siły oddziaływania poszczególnych kategorii interwencji. Najsilniejszy wpływ w początkowym okresie realizacji RPO ma oś 1. (Konkurencyjna i</w:t>
      </w:r>
      <w:r w:rsidR="006E50D0">
        <w:t> </w:t>
      </w:r>
      <w:r w:rsidRPr="00E015F3">
        <w:t xml:space="preserve"> innowacyjna gospodarka), która odpowiada za ok. 27% wpływu ogółem na PKB na osobę oraz na wskaźnik zatrudnienia, pomimo że oś stanowi jedynie 18% całej alokacji. Wydatki inwestycyjne, czyli przede wszystkim osie 2-6 względnie słabo odbiją się na gospodarce województwa w pierwszych latach realizacji programu, ale w roku 2023 będą one odpowiedzialne za 74% pozytywnego wkładu w</w:t>
      </w:r>
      <w:r w:rsidR="006E50D0">
        <w:t> </w:t>
      </w:r>
      <w:r w:rsidRPr="00E015F3">
        <w:t xml:space="preserve"> PKB/os., choć stanowić będą 54% wydatków.</w:t>
      </w:r>
    </w:p>
    <w:p w:rsidR="00AF436B" w:rsidRDefault="00AF436B">
      <w:pPr>
        <w:jc w:val="left"/>
        <w:rPr>
          <w:rFonts w:asciiTheme="majorHAnsi" w:eastAsiaTheme="majorEastAsia" w:hAnsiTheme="majorHAnsi" w:cstheme="majorBidi"/>
          <w:b/>
          <w:bCs/>
          <w:color w:val="366092" w:themeColor="accent1"/>
          <w:sz w:val="26"/>
          <w:szCs w:val="26"/>
        </w:rPr>
      </w:pPr>
      <w:r>
        <w:br w:type="page"/>
      </w:r>
    </w:p>
    <w:p w:rsidR="00E015F3" w:rsidRDefault="00E015F3" w:rsidP="00E015F3">
      <w:pPr>
        <w:pStyle w:val="Nagwek2"/>
      </w:pPr>
      <w:bookmarkStart w:id="7" w:name="_Toc384914400"/>
      <w:r>
        <w:lastRenderedPageBreak/>
        <w:t>Wymiar terytorialny</w:t>
      </w:r>
      <w:r w:rsidR="00AF436B">
        <w:t xml:space="preserve"> interwencji</w:t>
      </w:r>
      <w:bookmarkEnd w:id="7"/>
    </w:p>
    <w:p w:rsidR="00AF436B" w:rsidRDefault="00AF436B" w:rsidP="00AF436B">
      <w:r>
        <w:t xml:space="preserve">Dla wzmocnienia wymiaru terytorialnego interwencji w RPO WP 2014-2020 – realizując założenia dokumentów unijnych oraz krajowych, w tym KSRR – przewidziano realizację </w:t>
      </w:r>
      <w:r w:rsidRPr="00FF1102">
        <w:t>Zintegrowan</w:t>
      </w:r>
      <w:r>
        <w:t xml:space="preserve">ych </w:t>
      </w:r>
      <w:r w:rsidRPr="00FF1102">
        <w:t>Inwestycj</w:t>
      </w:r>
      <w:r>
        <w:t>i</w:t>
      </w:r>
      <w:r w:rsidRPr="00FF1102">
        <w:t xml:space="preserve"> Terytorialn</w:t>
      </w:r>
      <w:r>
        <w:t>ych</w:t>
      </w:r>
      <w:r w:rsidRPr="00FF1102">
        <w:t xml:space="preserve"> </w:t>
      </w:r>
      <w:r>
        <w:t>dla</w:t>
      </w:r>
      <w:r w:rsidRPr="00FF1102">
        <w:t xml:space="preserve"> Rzeszowskiego Obszar</w:t>
      </w:r>
      <w:r>
        <w:t>u Funkcjonalnego oraz regionalnych</w:t>
      </w:r>
      <w:r w:rsidRPr="00FF1102">
        <w:t xml:space="preserve"> inwe</w:t>
      </w:r>
      <w:r>
        <w:t>stycji terytorialnych (realizowanych w trybie pozakonkursowym) dla regionalnych biegunów wzrostu wyznaczonych w SRWP.  Ponadto, założono możliwość wsparcia projektów realizowanych w ramach partnerstwa kilku samorządów oraz partnerstwa publiczno-prywatnego. Co do zasady stosowanie formuły ZIT/RIT może mieć wpływ na zwiększenie efektywności interwencji oraz kompleksowe rozwiązanie problemów i wykorzystanie potencjałów danego obszaru. Z tego powodu położenie silniejszego, niż w okresie programowania 2007-2013, nacisku na terytorialny wymiar interwencji ocenić należy pozytywnie. Warto jednak pamiętać, że o efektywności takiej formy wsparcia decydować będzie to czy została ona zastosowana poprawnie, czyli tam gdzie rzeczywiście może przynieść wymierne efekty i przyczynić się do zwiększenia komplementarności i powstania efektu synergii. Podejście takie może powinno być stosowane w szczególności:</w:t>
      </w:r>
    </w:p>
    <w:p w:rsidR="00AF436B" w:rsidRPr="009C6361" w:rsidRDefault="00AF436B" w:rsidP="000965A8">
      <w:pPr>
        <w:pStyle w:val="Akapitzlist"/>
        <w:numPr>
          <w:ilvl w:val="0"/>
          <w:numId w:val="28"/>
        </w:numPr>
      </w:pPr>
      <w:r w:rsidRPr="009C6361">
        <w:t>tam, gdzie dla rozwiązania problemu/wykorzystania potencjału konieczne są wielotorowe działania, obejmujące kilka tematów i obszarów: np. dla wykorzystania potencjału turystycznego i kultowego danego obszaru, obok stworzenia produktów, konieczne jest rozwiązanie problemów potencjalnie zmniejszających atrakcyjność wspartych produktów (np. potrzeba rekultywacji gruntów zdegradowanych i rewitalizacji obszarów o dużym potencjale turystycznym/kulturowym);</w:t>
      </w:r>
    </w:p>
    <w:p w:rsidR="00AF436B" w:rsidRPr="009C6361" w:rsidRDefault="00AF436B" w:rsidP="000965A8">
      <w:pPr>
        <w:pStyle w:val="Akapitzlist"/>
        <w:numPr>
          <w:ilvl w:val="0"/>
          <w:numId w:val="27"/>
        </w:numPr>
      </w:pPr>
      <w:r w:rsidRPr="009C6361">
        <w:t>tam, gdzie specyfika problemu/potencjału dotyczy całego obszaru funkcjonalnego, a nie tylko pojedynczych JST (np. integracja systemów transportowych, podniesienie oferty systemu transportowego).</w:t>
      </w:r>
    </w:p>
    <w:p w:rsidR="00AF436B" w:rsidRDefault="00AF436B" w:rsidP="00AF436B">
      <w:r>
        <w:t xml:space="preserve">Równocześnie należy pamiętać, że zastosowanie formuły RIT/ZIT powinno być powiązane z podażą projektów w poszczególnych obszarach funkcjonalnych i spełniać ww. wymogi. Omawiany instrument nie powinien być sposobem na pozakonkursowe zagwarantowanie środków wybranym JST na przedsięwzięcia, które maja charakter punktowy i powinny – co najwyżej - ubiegać się o wsparcie w standardowej procedurze konkursowej. </w:t>
      </w:r>
    </w:p>
    <w:p w:rsidR="00AF436B" w:rsidRDefault="00AF436B" w:rsidP="00AF436B">
      <w:r w:rsidRPr="00ED6494">
        <w:t>Poniżej przedstawiono uwagi do propozycji zastosowania podejścia zintegrowanego w ramach poszczególnych priorytetów inwestycyjnych.</w:t>
      </w:r>
      <w:r>
        <w:t xml:space="preserve"> W zestawieniu nie uwzględniono priorytetów, których realizację przewidziano na terenie całego województwa bez jakichkolwiek preferencji terytorialnych.</w:t>
      </w:r>
    </w:p>
    <w:p w:rsidR="00AF436B" w:rsidRDefault="00AF436B" w:rsidP="00AF436B">
      <w:pPr>
        <w:pStyle w:val="Legenda"/>
        <w:keepNext/>
      </w:pPr>
      <w:r>
        <w:t xml:space="preserve">Tabela </w:t>
      </w:r>
      <w:r w:rsidR="001B04AC">
        <w:fldChar w:fldCharType="begin"/>
      </w:r>
      <w:r w:rsidR="008E1D74">
        <w:instrText xml:space="preserve"> SEQ Tabela \* ARABIC </w:instrText>
      </w:r>
      <w:r w:rsidR="001B04AC">
        <w:fldChar w:fldCharType="separate"/>
      </w:r>
      <w:r w:rsidR="00832320">
        <w:rPr>
          <w:noProof/>
        </w:rPr>
        <w:t>5</w:t>
      </w:r>
      <w:r w:rsidR="001B04AC">
        <w:rPr>
          <w:noProof/>
        </w:rPr>
        <w:fldChar w:fldCharType="end"/>
      </w:r>
      <w:r>
        <w:t>. Ocena zastosowania podejścia zintegrowanego w ramach poszczególnych priorytetów inwestycyjnych</w:t>
      </w:r>
    </w:p>
    <w:tbl>
      <w:tblPr>
        <w:tblStyle w:val="Tabela-Siatka"/>
        <w:tblW w:w="5259" w:type="pct"/>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20"/>
      </w:tblPr>
      <w:tblGrid>
        <w:gridCol w:w="1479"/>
        <w:gridCol w:w="470"/>
        <w:gridCol w:w="2350"/>
        <w:gridCol w:w="5468"/>
      </w:tblGrid>
      <w:tr w:rsidR="00AF436B" w:rsidRPr="001C61FF" w:rsidTr="00424449">
        <w:trPr>
          <w:trHeight w:val="419"/>
          <w:tblHeader/>
          <w:jc w:val="center"/>
        </w:trPr>
        <w:tc>
          <w:tcPr>
            <w:tcW w:w="1479" w:type="dxa"/>
            <w:shd w:val="clear" w:color="auto" w:fill="D1DEEE" w:themeFill="accent1" w:themeFillTint="33"/>
            <w:vAlign w:val="center"/>
            <w:hideMark/>
          </w:tcPr>
          <w:p w:rsidR="00AF436B" w:rsidRPr="001C61FF" w:rsidRDefault="00AF436B" w:rsidP="00424449">
            <w:pPr>
              <w:spacing w:before="60" w:after="60"/>
              <w:jc w:val="center"/>
              <w:rPr>
                <w:sz w:val="20"/>
              </w:rPr>
            </w:pPr>
            <w:r>
              <w:rPr>
                <w:b/>
                <w:bCs/>
                <w:sz w:val="20"/>
              </w:rPr>
              <w:t>oś priorytetowa</w:t>
            </w:r>
          </w:p>
        </w:tc>
        <w:tc>
          <w:tcPr>
            <w:tcW w:w="470" w:type="dxa"/>
            <w:tcBorders>
              <w:bottom w:val="single" w:sz="4" w:space="0" w:color="BFBFBF" w:themeColor="background1" w:themeShade="BF"/>
            </w:tcBorders>
            <w:shd w:val="clear" w:color="auto" w:fill="D1DEEE" w:themeFill="accent1" w:themeFillTint="33"/>
            <w:vAlign w:val="center"/>
            <w:hideMark/>
          </w:tcPr>
          <w:p w:rsidR="00AF436B" w:rsidRPr="001C61FF" w:rsidRDefault="00AF436B" w:rsidP="00424449">
            <w:pPr>
              <w:spacing w:before="60" w:after="60"/>
              <w:jc w:val="center"/>
              <w:rPr>
                <w:sz w:val="20"/>
              </w:rPr>
            </w:pPr>
            <w:r w:rsidRPr="001C61FF">
              <w:rPr>
                <w:b/>
                <w:bCs/>
                <w:sz w:val="20"/>
              </w:rPr>
              <w:t>PI</w:t>
            </w:r>
          </w:p>
        </w:tc>
        <w:tc>
          <w:tcPr>
            <w:tcW w:w="2350" w:type="dxa"/>
            <w:shd w:val="clear" w:color="auto" w:fill="D1DEEE" w:themeFill="accent1" w:themeFillTint="33"/>
            <w:vAlign w:val="center"/>
          </w:tcPr>
          <w:p w:rsidR="00AF436B" w:rsidRPr="001C61FF" w:rsidRDefault="00AF436B" w:rsidP="00424449">
            <w:pPr>
              <w:spacing w:before="60" w:after="60"/>
              <w:jc w:val="center"/>
              <w:rPr>
                <w:b/>
                <w:bCs/>
                <w:sz w:val="20"/>
              </w:rPr>
            </w:pPr>
            <w:r>
              <w:rPr>
                <w:b/>
                <w:bCs/>
                <w:sz w:val="20"/>
              </w:rPr>
              <w:t>formuła terytorialnego ukierunkowania interwencji</w:t>
            </w:r>
          </w:p>
        </w:tc>
        <w:tc>
          <w:tcPr>
            <w:tcW w:w="5470" w:type="dxa"/>
            <w:shd w:val="clear" w:color="auto" w:fill="D1DEEE" w:themeFill="accent1" w:themeFillTint="33"/>
            <w:vAlign w:val="center"/>
          </w:tcPr>
          <w:p w:rsidR="00AF436B" w:rsidRPr="001C61FF" w:rsidRDefault="00AF436B" w:rsidP="00424449">
            <w:pPr>
              <w:spacing w:before="60" w:after="60"/>
              <w:jc w:val="center"/>
              <w:rPr>
                <w:b/>
                <w:bCs/>
                <w:sz w:val="20"/>
              </w:rPr>
            </w:pPr>
            <w:r>
              <w:rPr>
                <w:b/>
                <w:bCs/>
                <w:sz w:val="20"/>
              </w:rPr>
              <w:t>ocena/ komentarz</w:t>
            </w:r>
          </w:p>
        </w:tc>
      </w:tr>
      <w:tr w:rsidR="00AF436B" w:rsidRPr="001C61FF" w:rsidTr="00424449">
        <w:trPr>
          <w:trHeight w:val="584"/>
          <w:jc w:val="center"/>
        </w:trPr>
        <w:tc>
          <w:tcPr>
            <w:tcW w:w="1479" w:type="dxa"/>
            <w:shd w:val="clear" w:color="auto" w:fill="E6E6E6" w:themeFill="background1" w:themeFillShade="E6"/>
            <w:vAlign w:val="center"/>
          </w:tcPr>
          <w:p w:rsidR="00AF436B" w:rsidRPr="00ED0B4C" w:rsidRDefault="00AF436B" w:rsidP="00424449">
            <w:pPr>
              <w:spacing w:before="60" w:after="60"/>
              <w:jc w:val="center"/>
              <w:rPr>
                <w:b/>
                <w:sz w:val="20"/>
              </w:rPr>
            </w:pPr>
            <w:r>
              <w:rPr>
                <w:b/>
                <w:sz w:val="20"/>
              </w:rPr>
              <w:t xml:space="preserve">I. </w:t>
            </w:r>
            <w:r w:rsidRPr="00DD4C4F">
              <w:rPr>
                <w:b/>
                <w:i/>
                <w:sz w:val="20"/>
              </w:rPr>
              <w:t>Konkurencyjna i innowacyjna gospodarka</w:t>
            </w:r>
            <w:r>
              <w:rPr>
                <w:b/>
                <w:sz w:val="20"/>
              </w:rPr>
              <w:t xml:space="preserve"> </w:t>
            </w:r>
          </w:p>
        </w:tc>
        <w:tc>
          <w:tcPr>
            <w:tcW w:w="470" w:type="dxa"/>
            <w:vAlign w:val="center"/>
          </w:tcPr>
          <w:p w:rsidR="00AF436B" w:rsidRDefault="00AF436B" w:rsidP="00424449">
            <w:pPr>
              <w:spacing w:before="60" w:after="60"/>
              <w:jc w:val="left"/>
              <w:rPr>
                <w:sz w:val="20"/>
              </w:rPr>
            </w:pPr>
            <w:r>
              <w:rPr>
                <w:sz w:val="20"/>
              </w:rPr>
              <w:t>3.1</w:t>
            </w:r>
          </w:p>
        </w:tc>
        <w:tc>
          <w:tcPr>
            <w:tcW w:w="2350" w:type="dxa"/>
            <w:vAlign w:val="center"/>
          </w:tcPr>
          <w:p w:rsidR="00AF436B" w:rsidRPr="00ED0B4C" w:rsidRDefault="00AF436B" w:rsidP="00424449">
            <w:pPr>
              <w:spacing w:before="60" w:after="60"/>
              <w:jc w:val="center"/>
              <w:rPr>
                <w:sz w:val="20"/>
              </w:rPr>
            </w:pPr>
            <w:r>
              <w:rPr>
                <w:sz w:val="20"/>
              </w:rPr>
              <w:t>całe województwo, ZIT/RIT (przygotowanie terenów inwestycyjnych)</w:t>
            </w:r>
          </w:p>
        </w:tc>
        <w:tc>
          <w:tcPr>
            <w:tcW w:w="5470" w:type="dxa"/>
            <w:vAlign w:val="center"/>
          </w:tcPr>
          <w:p w:rsidR="00AF436B" w:rsidRPr="00DD4C4F" w:rsidRDefault="00AF436B" w:rsidP="00424449">
            <w:pPr>
              <w:spacing w:before="60" w:after="60"/>
              <w:jc w:val="left"/>
              <w:rPr>
                <w:sz w:val="20"/>
              </w:rPr>
            </w:pPr>
            <w:r w:rsidRPr="00DD4C4F">
              <w:rPr>
                <w:sz w:val="20"/>
              </w:rPr>
              <w:t xml:space="preserve">Wsparcie przygotowania terenów inwestycyjnych w formule ZIT/RIT może być uzasadnione pod warunkiem, że zgłaszane projekty będą miały znaczenie dla całego obszaru funkcjonalnego i będą łącznie budować ofertę inwestycyjną zaangażowanych JST. </w:t>
            </w:r>
          </w:p>
        </w:tc>
      </w:tr>
      <w:tr w:rsidR="00AF436B" w:rsidRPr="001C61FF" w:rsidTr="00424449">
        <w:trPr>
          <w:trHeight w:val="584"/>
          <w:jc w:val="center"/>
        </w:trPr>
        <w:tc>
          <w:tcPr>
            <w:tcW w:w="1479" w:type="dxa"/>
            <w:vMerge w:val="restart"/>
            <w:shd w:val="clear" w:color="auto" w:fill="E6E6E6" w:themeFill="background1" w:themeFillShade="E6"/>
            <w:vAlign w:val="center"/>
          </w:tcPr>
          <w:p w:rsidR="00AF436B" w:rsidRDefault="00AF436B" w:rsidP="00424449">
            <w:pPr>
              <w:spacing w:before="60" w:after="60"/>
              <w:jc w:val="center"/>
              <w:rPr>
                <w:b/>
                <w:sz w:val="20"/>
              </w:rPr>
            </w:pPr>
            <w:r>
              <w:rPr>
                <w:b/>
                <w:sz w:val="20"/>
              </w:rPr>
              <w:lastRenderedPageBreak/>
              <w:t xml:space="preserve">III. </w:t>
            </w:r>
            <w:r w:rsidRPr="00DD4C4F">
              <w:rPr>
                <w:b/>
                <w:i/>
                <w:sz w:val="20"/>
              </w:rPr>
              <w:t>Czysta energia</w:t>
            </w:r>
          </w:p>
        </w:tc>
        <w:tc>
          <w:tcPr>
            <w:tcW w:w="470" w:type="dxa"/>
            <w:vAlign w:val="center"/>
          </w:tcPr>
          <w:p w:rsidR="00AF436B" w:rsidRDefault="00AF436B" w:rsidP="00424449">
            <w:pPr>
              <w:spacing w:before="60" w:after="60"/>
              <w:jc w:val="left"/>
              <w:rPr>
                <w:sz w:val="20"/>
              </w:rPr>
            </w:pPr>
            <w:r>
              <w:rPr>
                <w:sz w:val="20"/>
              </w:rPr>
              <w:t xml:space="preserve">4.1 </w:t>
            </w:r>
          </w:p>
        </w:tc>
        <w:tc>
          <w:tcPr>
            <w:tcW w:w="2350" w:type="dxa"/>
            <w:vAlign w:val="center"/>
          </w:tcPr>
          <w:p w:rsidR="00AF436B" w:rsidRDefault="00AF436B" w:rsidP="00424449">
            <w:pPr>
              <w:spacing w:before="60" w:after="60"/>
              <w:jc w:val="center"/>
              <w:rPr>
                <w:sz w:val="20"/>
              </w:rPr>
            </w:pPr>
            <w:r>
              <w:rPr>
                <w:sz w:val="20"/>
              </w:rPr>
              <w:t>całe województwo, w zależności od lokalnych warunków dla poszczególnych technologii OZE</w:t>
            </w:r>
          </w:p>
        </w:tc>
        <w:tc>
          <w:tcPr>
            <w:tcW w:w="5470" w:type="dxa"/>
            <w:vAlign w:val="center"/>
          </w:tcPr>
          <w:p w:rsidR="00AF436B" w:rsidRPr="00DD4C4F" w:rsidRDefault="00AF436B" w:rsidP="00424449">
            <w:pPr>
              <w:spacing w:before="60" w:after="60"/>
              <w:jc w:val="left"/>
              <w:rPr>
                <w:sz w:val="20"/>
              </w:rPr>
            </w:pPr>
            <w:r w:rsidRPr="00DD4C4F">
              <w:rPr>
                <w:sz w:val="20"/>
              </w:rPr>
              <w:t xml:space="preserve">W programie słusznie przewidziano dostosowanie wsparcia do występujących na poziomie lokalnym warunków dla poszczególnych technologii OZE, jednocześnie określając warunki minimalizujące uciążliwość nowych inwestycji z punktu widzenia mieszkańców.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Default="00AF436B" w:rsidP="00424449">
            <w:pPr>
              <w:spacing w:before="60" w:after="60"/>
              <w:jc w:val="center"/>
              <w:rPr>
                <w:b/>
                <w:sz w:val="20"/>
              </w:rPr>
            </w:pPr>
          </w:p>
        </w:tc>
        <w:tc>
          <w:tcPr>
            <w:tcW w:w="470" w:type="dxa"/>
            <w:vAlign w:val="center"/>
          </w:tcPr>
          <w:p w:rsidR="00AF436B" w:rsidRDefault="00AF436B" w:rsidP="00424449">
            <w:pPr>
              <w:spacing w:before="60" w:after="60"/>
              <w:jc w:val="left"/>
              <w:rPr>
                <w:sz w:val="20"/>
              </w:rPr>
            </w:pPr>
            <w:r>
              <w:rPr>
                <w:sz w:val="20"/>
              </w:rPr>
              <w:t>4.3</w:t>
            </w:r>
          </w:p>
        </w:tc>
        <w:tc>
          <w:tcPr>
            <w:tcW w:w="2350" w:type="dxa"/>
            <w:vAlign w:val="center"/>
          </w:tcPr>
          <w:p w:rsidR="00AF436B" w:rsidRDefault="00AF436B" w:rsidP="00424449">
            <w:pPr>
              <w:spacing w:before="60" w:after="60"/>
              <w:jc w:val="center"/>
              <w:rPr>
                <w:sz w:val="20"/>
              </w:rPr>
            </w:pPr>
            <w:r>
              <w:rPr>
                <w:sz w:val="20"/>
              </w:rPr>
              <w:t>całe województwo, preferencje dla obszarów, w których przekroczone są standardy jakości powietrza</w:t>
            </w:r>
          </w:p>
        </w:tc>
        <w:tc>
          <w:tcPr>
            <w:tcW w:w="5470" w:type="dxa"/>
            <w:vAlign w:val="center"/>
          </w:tcPr>
          <w:p w:rsidR="00AF436B" w:rsidRPr="00DD4C4F" w:rsidRDefault="00AF436B" w:rsidP="00424449">
            <w:pPr>
              <w:spacing w:before="60" w:after="60"/>
              <w:jc w:val="left"/>
              <w:rPr>
                <w:sz w:val="20"/>
              </w:rPr>
            </w:pPr>
            <w:r w:rsidRPr="00DD4C4F">
              <w:rPr>
                <w:sz w:val="20"/>
              </w:rPr>
              <w:t>Prawidłowe ukierunkowanie interwencji – wsparcie powinno w</w:t>
            </w:r>
            <w:r w:rsidR="006E50D0">
              <w:rPr>
                <w:sz w:val="20"/>
              </w:rPr>
              <w:t> </w:t>
            </w:r>
            <w:r w:rsidRPr="00DD4C4F">
              <w:rPr>
                <w:sz w:val="20"/>
              </w:rPr>
              <w:t xml:space="preserve"> pierwszej kolejności trafić do obszarów, gdzie inwestycje </w:t>
            </w:r>
            <w:proofErr w:type="spellStart"/>
            <w:r w:rsidRPr="00DD4C4F">
              <w:rPr>
                <w:sz w:val="20"/>
              </w:rPr>
              <w:t>termomodernizacyjne</w:t>
            </w:r>
            <w:proofErr w:type="spellEnd"/>
            <w:r w:rsidRPr="00DD4C4F">
              <w:rPr>
                <w:sz w:val="20"/>
              </w:rPr>
              <w:t xml:space="preserve"> (powiązane z wymianą źródeł ciepła) przyczynią się do zmniejszenie zjawiska tzw. niskiej emisji.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Default="00AF436B" w:rsidP="00424449">
            <w:pPr>
              <w:spacing w:before="60" w:after="60"/>
              <w:jc w:val="center"/>
              <w:rPr>
                <w:b/>
                <w:sz w:val="20"/>
              </w:rPr>
            </w:pPr>
          </w:p>
        </w:tc>
        <w:tc>
          <w:tcPr>
            <w:tcW w:w="470" w:type="dxa"/>
            <w:vAlign w:val="center"/>
          </w:tcPr>
          <w:p w:rsidR="00AF436B" w:rsidRDefault="00AF436B" w:rsidP="00424449">
            <w:pPr>
              <w:spacing w:before="60" w:after="60"/>
              <w:jc w:val="left"/>
              <w:rPr>
                <w:sz w:val="20"/>
              </w:rPr>
            </w:pPr>
            <w:r>
              <w:rPr>
                <w:sz w:val="20"/>
              </w:rPr>
              <w:t>4.5</w:t>
            </w:r>
          </w:p>
        </w:tc>
        <w:tc>
          <w:tcPr>
            <w:tcW w:w="2350" w:type="dxa"/>
            <w:vAlign w:val="center"/>
          </w:tcPr>
          <w:p w:rsidR="00AF436B" w:rsidRDefault="00AF436B" w:rsidP="00424449">
            <w:pPr>
              <w:spacing w:before="60" w:after="60"/>
              <w:jc w:val="center"/>
              <w:rPr>
                <w:sz w:val="20"/>
              </w:rPr>
            </w:pPr>
            <w:r>
              <w:rPr>
                <w:sz w:val="20"/>
              </w:rPr>
              <w:t>powiązanie z interwencją w 4.3, RIT/ZIT</w:t>
            </w:r>
          </w:p>
        </w:tc>
        <w:tc>
          <w:tcPr>
            <w:tcW w:w="5470" w:type="dxa"/>
            <w:vAlign w:val="center"/>
          </w:tcPr>
          <w:p w:rsidR="00AF436B" w:rsidRPr="00DD4C4F" w:rsidRDefault="00AF436B" w:rsidP="00424449">
            <w:pPr>
              <w:spacing w:before="60" w:after="60"/>
              <w:jc w:val="left"/>
              <w:rPr>
                <w:sz w:val="20"/>
              </w:rPr>
            </w:pPr>
            <w:r w:rsidRPr="00DD4C4F">
              <w:rPr>
                <w:sz w:val="20"/>
              </w:rPr>
              <w:t xml:space="preserve">Słuszne powiązanie terytorialne działań z interwencją w PI 4.3. Ewentualne wykorzystanie formuły ZIT/RIT powinno być uwarunkowane zgłoszeniem przez poszczególne OF koncepcji projektów sieciowych, o znaczeniu dla większości JST wchodzących w skład obszaru. </w:t>
            </w:r>
          </w:p>
        </w:tc>
      </w:tr>
      <w:tr w:rsidR="00AF436B" w:rsidRPr="001C61FF" w:rsidTr="00424449">
        <w:trPr>
          <w:trHeight w:val="584"/>
          <w:jc w:val="center"/>
        </w:trPr>
        <w:tc>
          <w:tcPr>
            <w:tcW w:w="1479" w:type="dxa"/>
            <w:vMerge w:val="restart"/>
            <w:shd w:val="clear" w:color="auto" w:fill="E6E6E6" w:themeFill="background1" w:themeFillShade="E6"/>
            <w:vAlign w:val="center"/>
          </w:tcPr>
          <w:p w:rsidR="00AF436B" w:rsidRPr="00ED0B4C" w:rsidRDefault="00AF436B" w:rsidP="00424449">
            <w:pPr>
              <w:spacing w:before="60" w:after="60"/>
              <w:jc w:val="center"/>
              <w:rPr>
                <w:b/>
                <w:sz w:val="20"/>
              </w:rPr>
            </w:pPr>
            <w:r w:rsidRPr="00ED0B4C">
              <w:rPr>
                <w:b/>
                <w:sz w:val="20"/>
              </w:rPr>
              <w:t>IV. Ochrona środowiska naturalnego i dziedzictwa kulturowego</w:t>
            </w:r>
          </w:p>
        </w:tc>
        <w:tc>
          <w:tcPr>
            <w:tcW w:w="470" w:type="dxa"/>
            <w:vAlign w:val="center"/>
          </w:tcPr>
          <w:p w:rsidR="00AF436B" w:rsidRPr="001C61FF" w:rsidRDefault="00AF436B" w:rsidP="00424449">
            <w:pPr>
              <w:spacing w:before="60" w:after="60"/>
              <w:jc w:val="left"/>
              <w:rPr>
                <w:sz w:val="20"/>
              </w:rPr>
            </w:pPr>
            <w:r>
              <w:rPr>
                <w:sz w:val="20"/>
              </w:rPr>
              <w:t>5.2</w:t>
            </w:r>
          </w:p>
        </w:tc>
        <w:tc>
          <w:tcPr>
            <w:tcW w:w="2350" w:type="dxa"/>
            <w:vAlign w:val="center"/>
          </w:tcPr>
          <w:p w:rsidR="00AF436B" w:rsidRPr="002C5C86" w:rsidRDefault="00AF436B" w:rsidP="00424449">
            <w:pPr>
              <w:spacing w:before="60" w:after="60"/>
              <w:jc w:val="center"/>
              <w:rPr>
                <w:sz w:val="20"/>
              </w:rPr>
            </w:pPr>
            <w:r>
              <w:rPr>
                <w:sz w:val="20"/>
              </w:rPr>
              <w:t>całe województwo, obszary narażone na występowanie powodzi oraz RIT</w:t>
            </w:r>
          </w:p>
        </w:tc>
        <w:tc>
          <w:tcPr>
            <w:tcW w:w="5470" w:type="dxa"/>
            <w:vAlign w:val="center"/>
          </w:tcPr>
          <w:p w:rsidR="00AF436B" w:rsidRDefault="00AF436B" w:rsidP="00424449">
            <w:pPr>
              <w:spacing w:before="60" w:after="60"/>
              <w:jc w:val="left"/>
              <w:rPr>
                <w:sz w:val="20"/>
              </w:rPr>
            </w:pPr>
            <w:r>
              <w:rPr>
                <w:sz w:val="20"/>
              </w:rPr>
              <w:t xml:space="preserve">Zakres interwencji wskazuje na potrzebę koncentracji na obszarach problemowych (m.in. tereny narażone na ryzyko powodzi, w tym powodzi opadowych i zalewowych). Zastosowanie formuły RIT może mieć wpływ na efektywność interwencji przy założeniu koncentracji na inwestycjach komplementarnych (np. budowa kanalizacji deszczowej tam gdzie to możliwe razem z kanalizacją sanitarną aby nie generować podwójnych kosztów). </w:t>
            </w:r>
          </w:p>
          <w:p w:rsidR="00AF436B" w:rsidRPr="001C61FF" w:rsidRDefault="00AF436B" w:rsidP="00424449">
            <w:pPr>
              <w:spacing w:before="60" w:after="60"/>
              <w:jc w:val="left"/>
              <w:rPr>
                <w:sz w:val="20"/>
              </w:rPr>
            </w:pPr>
            <w:r>
              <w:rPr>
                <w:sz w:val="20"/>
              </w:rPr>
              <w:t>Na etapie uszczegółowienia niezbędne będzie jednoznaczne wskazanie preferencji i warunków stosowania RIT.</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left"/>
              <w:rPr>
                <w:sz w:val="20"/>
              </w:rPr>
            </w:pPr>
          </w:p>
        </w:tc>
        <w:tc>
          <w:tcPr>
            <w:tcW w:w="470" w:type="dxa"/>
            <w:vAlign w:val="center"/>
          </w:tcPr>
          <w:p w:rsidR="00AF436B" w:rsidRPr="001C61FF" w:rsidRDefault="00AF436B" w:rsidP="00424449">
            <w:pPr>
              <w:spacing w:before="60" w:after="60"/>
              <w:jc w:val="left"/>
              <w:rPr>
                <w:sz w:val="20"/>
              </w:rPr>
            </w:pPr>
            <w:r>
              <w:rPr>
                <w:sz w:val="20"/>
              </w:rPr>
              <w:t>6.1</w:t>
            </w:r>
          </w:p>
        </w:tc>
        <w:tc>
          <w:tcPr>
            <w:tcW w:w="2350" w:type="dxa"/>
            <w:vAlign w:val="center"/>
          </w:tcPr>
          <w:p w:rsidR="00AF436B" w:rsidRPr="00BC55D0" w:rsidRDefault="00AF436B" w:rsidP="00424449">
            <w:pPr>
              <w:spacing w:before="60" w:after="60"/>
              <w:jc w:val="center"/>
              <w:rPr>
                <w:sz w:val="20"/>
              </w:rPr>
            </w:pPr>
            <w:r>
              <w:rPr>
                <w:sz w:val="20"/>
              </w:rPr>
              <w:t>całe województwo w oparciu o WPGO, RIT</w:t>
            </w:r>
          </w:p>
        </w:tc>
        <w:tc>
          <w:tcPr>
            <w:tcW w:w="5470" w:type="dxa"/>
            <w:vAlign w:val="center"/>
          </w:tcPr>
          <w:p w:rsidR="00AF436B" w:rsidRPr="001C61FF" w:rsidRDefault="00AF436B" w:rsidP="00424449">
            <w:pPr>
              <w:spacing w:before="60" w:after="60"/>
              <w:jc w:val="left"/>
              <w:rPr>
                <w:sz w:val="20"/>
              </w:rPr>
            </w:pPr>
            <w:r>
              <w:rPr>
                <w:sz w:val="20"/>
              </w:rPr>
              <w:t xml:space="preserve">Potrzeba rozwoju gospodarki odpadami jest wyzwaniem dla całego regionu, konkretne wytyczne dotyczące potrzeb inwestycyjnych, łącznie z wskazaniem obszarów wsparcia określa WPGO. Z tego względu stosowanie formuły RIT/ZIT nie powinno mieć pierwszorzędnego znaczenia.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left"/>
              <w:rPr>
                <w:sz w:val="20"/>
              </w:rPr>
            </w:pPr>
          </w:p>
        </w:tc>
        <w:tc>
          <w:tcPr>
            <w:tcW w:w="470" w:type="dxa"/>
            <w:vAlign w:val="center"/>
          </w:tcPr>
          <w:p w:rsidR="00AF436B" w:rsidRPr="001C61FF" w:rsidRDefault="00AF436B" w:rsidP="00424449">
            <w:pPr>
              <w:spacing w:before="60" w:after="60"/>
              <w:jc w:val="left"/>
              <w:rPr>
                <w:sz w:val="20"/>
              </w:rPr>
            </w:pPr>
            <w:r>
              <w:rPr>
                <w:sz w:val="20"/>
              </w:rPr>
              <w:t>6.2</w:t>
            </w:r>
          </w:p>
        </w:tc>
        <w:tc>
          <w:tcPr>
            <w:tcW w:w="2350" w:type="dxa"/>
            <w:vAlign w:val="center"/>
          </w:tcPr>
          <w:p w:rsidR="00AF436B" w:rsidRPr="004E1739" w:rsidRDefault="00AF436B" w:rsidP="00424449">
            <w:pPr>
              <w:spacing w:before="60" w:after="60"/>
              <w:jc w:val="center"/>
              <w:rPr>
                <w:sz w:val="20"/>
              </w:rPr>
            </w:pPr>
            <w:r>
              <w:rPr>
                <w:sz w:val="20"/>
              </w:rPr>
              <w:t>całe województwo (w oparciu o wytyczne dokumentów krajowych i unijnych), aglomeracje pozbawione infrastruktury kanalizacyjnej, RIT</w:t>
            </w:r>
          </w:p>
        </w:tc>
        <w:tc>
          <w:tcPr>
            <w:tcW w:w="5470" w:type="dxa"/>
            <w:vAlign w:val="center"/>
          </w:tcPr>
          <w:p w:rsidR="00AF436B" w:rsidRDefault="00AF436B" w:rsidP="00424449">
            <w:pPr>
              <w:spacing w:before="60" w:after="60"/>
              <w:jc w:val="left"/>
              <w:rPr>
                <w:sz w:val="20"/>
              </w:rPr>
            </w:pPr>
            <w:r>
              <w:rPr>
                <w:sz w:val="20"/>
              </w:rPr>
              <w:t xml:space="preserve">Potrzeba uzupełnienia systemów gospodarki wodno-ściekowej wynika z dyrektyw unijnych i prawa krajowego. Priorytetowo powinny być traktowane inwestycje domykające aglomeracje wskazane w KPOŚK. Wykorzystanie RIT może być efektywnym narzędziem dla kompleksowego wsparcia obszarów o dużym potencjale turystycznym/na których konieczna jest ochrona środowiska i różnorodności. </w:t>
            </w:r>
          </w:p>
          <w:p w:rsidR="00AF436B" w:rsidRPr="001C61FF" w:rsidRDefault="00AF436B" w:rsidP="00424449">
            <w:pPr>
              <w:spacing w:before="60" w:after="60"/>
              <w:jc w:val="left"/>
              <w:rPr>
                <w:sz w:val="20"/>
              </w:rPr>
            </w:pPr>
            <w:r>
              <w:rPr>
                <w:sz w:val="20"/>
              </w:rPr>
              <w:t>Na etapie uszczegółowienia niezbędne będzie jednoznaczne wskazanie preferencji i warunków stosowania RIT.</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left"/>
              <w:rPr>
                <w:sz w:val="20"/>
              </w:rPr>
            </w:pPr>
          </w:p>
        </w:tc>
        <w:tc>
          <w:tcPr>
            <w:tcW w:w="470" w:type="dxa"/>
            <w:vAlign w:val="center"/>
          </w:tcPr>
          <w:p w:rsidR="00AF436B" w:rsidRPr="001C61FF" w:rsidRDefault="00AF436B" w:rsidP="00424449">
            <w:pPr>
              <w:spacing w:before="60" w:after="60"/>
              <w:jc w:val="left"/>
              <w:rPr>
                <w:sz w:val="20"/>
              </w:rPr>
            </w:pPr>
            <w:r>
              <w:rPr>
                <w:sz w:val="20"/>
              </w:rPr>
              <w:t>6.3</w:t>
            </w:r>
          </w:p>
        </w:tc>
        <w:tc>
          <w:tcPr>
            <w:tcW w:w="2350" w:type="dxa"/>
            <w:vAlign w:val="center"/>
          </w:tcPr>
          <w:p w:rsidR="00AF436B" w:rsidRPr="001C61FF" w:rsidRDefault="00AF436B" w:rsidP="00424449">
            <w:pPr>
              <w:spacing w:before="60" w:after="60"/>
              <w:jc w:val="center"/>
              <w:rPr>
                <w:sz w:val="20"/>
              </w:rPr>
            </w:pPr>
            <w:r>
              <w:rPr>
                <w:sz w:val="20"/>
              </w:rPr>
              <w:t>całe województwo, RIT</w:t>
            </w:r>
          </w:p>
        </w:tc>
        <w:tc>
          <w:tcPr>
            <w:tcW w:w="5470" w:type="dxa"/>
            <w:vAlign w:val="center"/>
          </w:tcPr>
          <w:p w:rsidR="00AF436B" w:rsidRPr="0037758B" w:rsidRDefault="00AF436B" w:rsidP="00424449">
            <w:pPr>
              <w:spacing w:before="60" w:after="60"/>
              <w:jc w:val="left"/>
              <w:rPr>
                <w:sz w:val="20"/>
              </w:rPr>
            </w:pPr>
            <w:r>
              <w:rPr>
                <w:sz w:val="20"/>
              </w:rPr>
              <w:t>Zastosowanie RIT powinno być warunkowane przez istnienie kompleksowego planu rozwoju potencjału turystyczno-kultowego danego obszaru funkcjonalnego (np. tworzenie kompleksowych/sieciowych produktów turystyczno-kulturowych).</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left"/>
              <w:rPr>
                <w:sz w:val="20"/>
              </w:rPr>
            </w:pPr>
          </w:p>
        </w:tc>
        <w:tc>
          <w:tcPr>
            <w:tcW w:w="470" w:type="dxa"/>
            <w:vAlign w:val="center"/>
          </w:tcPr>
          <w:p w:rsidR="00AF436B" w:rsidRPr="001C61FF" w:rsidRDefault="00AF436B" w:rsidP="00424449">
            <w:pPr>
              <w:spacing w:before="60" w:after="60"/>
              <w:jc w:val="left"/>
              <w:rPr>
                <w:sz w:val="20"/>
              </w:rPr>
            </w:pPr>
            <w:r>
              <w:rPr>
                <w:sz w:val="20"/>
              </w:rPr>
              <w:t>6.4</w:t>
            </w:r>
          </w:p>
        </w:tc>
        <w:tc>
          <w:tcPr>
            <w:tcW w:w="2350" w:type="dxa"/>
            <w:vAlign w:val="center"/>
          </w:tcPr>
          <w:p w:rsidR="00AF436B" w:rsidRPr="001C61FF" w:rsidRDefault="00AF436B" w:rsidP="00F620DA">
            <w:pPr>
              <w:spacing w:before="60" w:after="60"/>
              <w:jc w:val="center"/>
              <w:rPr>
                <w:sz w:val="20"/>
              </w:rPr>
            </w:pPr>
            <w:r>
              <w:rPr>
                <w:sz w:val="20"/>
              </w:rPr>
              <w:t>całe województwo, ZIT</w:t>
            </w:r>
            <w:r w:rsidR="00F620DA">
              <w:rPr>
                <w:sz w:val="20"/>
              </w:rPr>
              <w:t>/RIT</w:t>
            </w:r>
            <w:r>
              <w:rPr>
                <w:sz w:val="20"/>
              </w:rPr>
              <w:t xml:space="preserve">, obszary Natura </w:t>
            </w:r>
            <w:r>
              <w:rPr>
                <w:sz w:val="20"/>
              </w:rPr>
              <w:lastRenderedPageBreak/>
              <w:t>2000</w:t>
            </w:r>
          </w:p>
        </w:tc>
        <w:tc>
          <w:tcPr>
            <w:tcW w:w="5470" w:type="dxa"/>
            <w:vAlign w:val="center"/>
          </w:tcPr>
          <w:p w:rsidR="00AF436B" w:rsidRPr="001C61FF" w:rsidRDefault="00AF436B" w:rsidP="00F620DA">
            <w:pPr>
              <w:spacing w:before="60" w:after="60"/>
              <w:jc w:val="left"/>
              <w:rPr>
                <w:sz w:val="20"/>
              </w:rPr>
            </w:pPr>
            <w:r>
              <w:rPr>
                <w:sz w:val="20"/>
              </w:rPr>
              <w:lastRenderedPageBreak/>
              <w:t xml:space="preserve">Zastosowanie </w:t>
            </w:r>
            <w:r w:rsidR="00F620DA">
              <w:rPr>
                <w:sz w:val="20"/>
              </w:rPr>
              <w:t>ZIT/RIT</w:t>
            </w:r>
            <w:r>
              <w:rPr>
                <w:sz w:val="20"/>
              </w:rPr>
              <w:t xml:space="preserve"> wskazane dla zwiększenia efektywności interwencji. Koncentracja terytorialna na obszarach o</w:t>
            </w:r>
            <w:r w:rsidR="006E50D0">
              <w:rPr>
                <w:sz w:val="20"/>
              </w:rPr>
              <w:t> </w:t>
            </w:r>
            <w:r>
              <w:rPr>
                <w:sz w:val="20"/>
              </w:rPr>
              <w:t xml:space="preserve"> </w:t>
            </w:r>
            <w:r>
              <w:rPr>
                <w:sz w:val="20"/>
              </w:rPr>
              <w:lastRenderedPageBreak/>
              <w:t>najistotniejszych zasobach różnorodności biologicznej wymagających objęcia ochroną, ewentualnie w powiązaniu z</w:t>
            </w:r>
            <w:r w:rsidR="006E50D0">
              <w:rPr>
                <w:sz w:val="20"/>
              </w:rPr>
              <w:t> </w:t>
            </w:r>
            <w:r>
              <w:rPr>
                <w:sz w:val="20"/>
              </w:rPr>
              <w:t xml:space="preserve"> ukierunkowaniem ruchu turystycznego na danym obszarze.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left"/>
              <w:rPr>
                <w:sz w:val="20"/>
              </w:rPr>
            </w:pPr>
          </w:p>
        </w:tc>
        <w:tc>
          <w:tcPr>
            <w:tcW w:w="470" w:type="dxa"/>
            <w:vAlign w:val="center"/>
          </w:tcPr>
          <w:p w:rsidR="00AF436B" w:rsidRPr="001C61FF" w:rsidRDefault="00AF436B" w:rsidP="00424449">
            <w:pPr>
              <w:spacing w:before="60" w:after="60"/>
              <w:jc w:val="left"/>
              <w:rPr>
                <w:sz w:val="20"/>
              </w:rPr>
            </w:pPr>
            <w:r>
              <w:rPr>
                <w:sz w:val="20"/>
              </w:rPr>
              <w:t>6.5</w:t>
            </w:r>
          </w:p>
        </w:tc>
        <w:tc>
          <w:tcPr>
            <w:tcW w:w="2350" w:type="dxa"/>
            <w:vAlign w:val="center"/>
          </w:tcPr>
          <w:p w:rsidR="00AF436B" w:rsidRPr="001C61FF" w:rsidRDefault="00AF436B" w:rsidP="00424449">
            <w:pPr>
              <w:spacing w:before="60" w:after="60"/>
              <w:jc w:val="center"/>
              <w:rPr>
                <w:sz w:val="20"/>
              </w:rPr>
            </w:pPr>
            <w:r>
              <w:rPr>
                <w:sz w:val="20"/>
              </w:rPr>
              <w:t>ośrodki miejskie, RIT</w:t>
            </w:r>
          </w:p>
        </w:tc>
        <w:tc>
          <w:tcPr>
            <w:tcW w:w="5470" w:type="dxa"/>
            <w:vAlign w:val="center"/>
          </w:tcPr>
          <w:p w:rsidR="00AF436B" w:rsidRPr="001C61FF" w:rsidRDefault="00AF436B" w:rsidP="00424449">
            <w:pPr>
              <w:spacing w:before="60" w:after="60"/>
              <w:jc w:val="left"/>
              <w:rPr>
                <w:sz w:val="20"/>
              </w:rPr>
            </w:pPr>
            <w:r>
              <w:rPr>
                <w:sz w:val="20"/>
              </w:rPr>
              <w:t>Zastosowanie formuły RIT zasadne, konieczna jest jednak koncentracja na rozwiązaniach kompleksowych w połączeniu z</w:t>
            </w:r>
            <w:r w:rsidR="006E50D0">
              <w:rPr>
                <w:sz w:val="20"/>
              </w:rPr>
              <w:t> </w:t>
            </w:r>
            <w:r>
              <w:rPr>
                <w:sz w:val="20"/>
              </w:rPr>
              <w:t xml:space="preserve"> interwencją z innych priorytetów inwestycyjnych (np. rekultywacja z PI 6.5 z rewitalizacją z PI 9.2 jako kompleksowe podejście do rozwiązania problemów na wybranym obszarze). Na poziomie uszczegółowienia i kryteriów wyboru projektów konieczne doprecyzowanie wytycznych.</w:t>
            </w:r>
          </w:p>
        </w:tc>
      </w:tr>
      <w:tr w:rsidR="00AF436B" w:rsidRPr="001C61FF" w:rsidTr="00424449">
        <w:trPr>
          <w:trHeight w:val="584"/>
          <w:jc w:val="center"/>
        </w:trPr>
        <w:tc>
          <w:tcPr>
            <w:tcW w:w="1479" w:type="dxa"/>
            <w:vMerge w:val="restart"/>
            <w:shd w:val="clear" w:color="auto" w:fill="E6E6E6" w:themeFill="background1" w:themeFillShade="E6"/>
            <w:vAlign w:val="center"/>
          </w:tcPr>
          <w:p w:rsidR="00AF436B" w:rsidRPr="00CB53E8" w:rsidRDefault="00AF436B" w:rsidP="00424449">
            <w:pPr>
              <w:spacing w:before="60" w:after="60"/>
              <w:jc w:val="center"/>
              <w:rPr>
                <w:b/>
                <w:sz w:val="20"/>
              </w:rPr>
            </w:pPr>
            <w:r w:rsidRPr="00CB53E8">
              <w:rPr>
                <w:b/>
                <w:sz w:val="20"/>
              </w:rPr>
              <w:t xml:space="preserve">V. </w:t>
            </w:r>
            <w:r w:rsidRPr="00C724AC">
              <w:rPr>
                <w:b/>
                <w:i/>
                <w:sz w:val="20"/>
              </w:rPr>
              <w:t>Infrastruktura komunikacyjna</w:t>
            </w:r>
          </w:p>
        </w:tc>
        <w:tc>
          <w:tcPr>
            <w:tcW w:w="470" w:type="dxa"/>
            <w:vAlign w:val="center"/>
          </w:tcPr>
          <w:p w:rsidR="00AF436B" w:rsidRPr="001C61FF" w:rsidRDefault="00AF436B" w:rsidP="00424449">
            <w:pPr>
              <w:spacing w:before="60" w:after="60"/>
              <w:jc w:val="center"/>
              <w:rPr>
                <w:sz w:val="20"/>
              </w:rPr>
            </w:pPr>
            <w:r>
              <w:rPr>
                <w:sz w:val="20"/>
              </w:rPr>
              <w:t>7.2</w:t>
            </w:r>
          </w:p>
        </w:tc>
        <w:tc>
          <w:tcPr>
            <w:tcW w:w="2350" w:type="dxa"/>
            <w:vAlign w:val="center"/>
          </w:tcPr>
          <w:p w:rsidR="00AF436B" w:rsidRPr="001C61FF" w:rsidRDefault="00AF436B" w:rsidP="00424449">
            <w:pPr>
              <w:spacing w:before="60" w:after="60"/>
              <w:jc w:val="center"/>
              <w:rPr>
                <w:sz w:val="20"/>
              </w:rPr>
            </w:pPr>
            <w:r>
              <w:rPr>
                <w:sz w:val="20"/>
              </w:rPr>
              <w:t>całe województwo, ZIT/RIT</w:t>
            </w:r>
          </w:p>
        </w:tc>
        <w:tc>
          <w:tcPr>
            <w:tcW w:w="5470" w:type="dxa"/>
            <w:vAlign w:val="center"/>
          </w:tcPr>
          <w:p w:rsidR="00AF436B" w:rsidRPr="00CB53E8" w:rsidRDefault="00AF436B" w:rsidP="00424449">
            <w:pPr>
              <w:spacing w:before="60" w:after="60"/>
              <w:jc w:val="left"/>
              <w:rPr>
                <w:sz w:val="20"/>
              </w:rPr>
            </w:pPr>
            <w:r w:rsidRPr="00CB53E8">
              <w:rPr>
                <w:sz w:val="20"/>
              </w:rPr>
              <w:t>Ew</w:t>
            </w:r>
            <w:r>
              <w:rPr>
                <w:sz w:val="20"/>
              </w:rPr>
              <w:t>entualnie wykorzystanie formuły RIT/ZIT w projektach drogowych powinno być powiązane z celami wyznaczonymi w</w:t>
            </w:r>
            <w:r w:rsidR="006E50D0">
              <w:rPr>
                <w:sz w:val="20"/>
              </w:rPr>
              <w:t> </w:t>
            </w:r>
            <w:r>
              <w:rPr>
                <w:sz w:val="20"/>
              </w:rPr>
              <w:t xml:space="preserve"> innych PI jako uzupełnienie realizowanych tam przedsięwzięć, np. z poprawą dostępności terenów inwestycyjnych (PI 3.1) lub aktywizacją terenów objętych rewitalizacją (PI 9.2).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center"/>
              <w:rPr>
                <w:sz w:val="20"/>
              </w:rPr>
            </w:pPr>
          </w:p>
        </w:tc>
        <w:tc>
          <w:tcPr>
            <w:tcW w:w="470" w:type="dxa"/>
            <w:vAlign w:val="center"/>
          </w:tcPr>
          <w:p w:rsidR="00AF436B" w:rsidRPr="001C61FF" w:rsidRDefault="00AF436B" w:rsidP="00424449">
            <w:pPr>
              <w:spacing w:before="60" w:after="60"/>
              <w:jc w:val="center"/>
              <w:rPr>
                <w:sz w:val="20"/>
              </w:rPr>
            </w:pPr>
            <w:r>
              <w:rPr>
                <w:sz w:val="20"/>
              </w:rPr>
              <w:t>4.5</w:t>
            </w:r>
          </w:p>
        </w:tc>
        <w:tc>
          <w:tcPr>
            <w:tcW w:w="2350" w:type="dxa"/>
            <w:vAlign w:val="center"/>
          </w:tcPr>
          <w:p w:rsidR="00AF436B" w:rsidRPr="001C61FF" w:rsidRDefault="00AF436B" w:rsidP="00424449">
            <w:pPr>
              <w:spacing w:before="60" w:after="60"/>
              <w:jc w:val="center"/>
              <w:rPr>
                <w:sz w:val="20"/>
              </w:rPr>
            </w:pPr>
            <w:r>
              <w:rPr>
                <w:sz w:val="20"/>
              </w:rPr>
              <w:t>całe województwo, ZIT/RIT</w:t>
            </w:r>
          </w:p>
        </w:tc>
        <w:tc>
          <w:tcPr>
            <w:tcW w:w="5470" w:type="dxa"/>
            <w:vAlign w:val="center"/>
          </w:tcPr>
          <w:p w:rsidR="00AF436B" w:rsidRPr="001C61FF" w:rsidRDefault="00AF436B" w:rsidP="00424449">
            <w:pPr>
              <w:spacing w:before="60" w:after="60"/>
              <w:jc w:val="left"/>
              <w:rPr>
                <w:sz w:val="20"/>
              </w:rPr>
            </w:pPr>
            <w:r>
              <w:rPr>
                <w:sz w:val="20"/>
              </w:rPr>
              <w:t>Formuła ZIT/RIT jest w pełni uzasadniona, projekt</w:t>
            </w:r>
            <w:r w:rsidR="00E3383E">
              <w:rPr>
                <w:sz w:val="20"/>
              </w:rPr>
              <w:t>y</w:t>
            </w:r>
            <w:r>
              <w:rPr>
                <w:sz w:val="20"/>
              </w:rPr>
              <w:t xml:space="preserve"> związane z</w:t>
            </w:r>
            <w:r w:rsidR="006E50D0">
              <w:rPr>
                <w:sz w:val="20"/>
              </w:rPr>
              <w:t> </w:t>
            </w:r>
            <w:r>
              <w:rPr>
                <w:sz w:val="20"/>
              </w:rPr>
              <w:t xml:space="preserve"> rozwojem transportu publicznego muszą jednak prowadzić do poprawy powiązań w ramach MOF, w szczególności integrować ofertę transportową więcej niż jednej JST. </w:t>
            </w:r>
          </w:p>
        </w:tc>
      </w:tr>
      <w:tr w:rsidR="00AF436B" w:rsidRPr="001C61FF" w:rsidTr="00424449">
        <w:trPr>
          <w:trHeight w:val="584"/>
          <w:jc w:val="center"/>
        </w:trPr>
        <w:tc>
          <w:tcPr>
            <w:tcW w:w="1479" w:type="dxa"/>
            <w:vMerge w:val="restart"/>
            <w:shd w:val="clear" w:color="auto" w:fill="E6E6E6" w:themeFill="background1" w:themeFillShade="E6"/>
            <w:vAlign w:val="center"/>
          </w:tcPr>
          <w:p w:rsidR="00AF436B" w:rsidRPr="00C724AC" w:rsidRDefault="00AF436B" w:rsidP="00424449">
            <w:pPr>
              <w:spacing w:before="60" w:after="60"/>
              <w:jc w:val="center"/>
              <w:rPr>
                <w:b/>
                <w:sz w:val="20"/>
              </w:rPr>
            </w:pPr>
            <w:r w:rsidRPr="00C724AC">
              <w:rPr>
                <w:b/>
                <w:sz w:val="20"/>
              </w:rPr>
              <w:t xml:space="preserve">VI. </w:t>
            </w:r>
            <w:r w:rsidRPr="00C724AC">
              <w:rPr>
                <w:b/>
                <w:i/>
                <w:sz w:val="20"/>
              </w:rPr>
              <w:t>Spójność przestrzenna i społeczna</w:t>
            </w:r>
            <w:r w:rsidRPr="00C724AC">
              <w:rPr>
                <w:b/>
                <w:sz w:val="20"/>
              </w:rPr>
              <w:t xml:space="preserve"> </w:t>
            </w:r>
          </w:p>
        </w:tc>
        <w:tc>
          <w:tcPr>
            <w:tcW w:w="470" w:type="dxa"/>
            <w:vAlign w:val="center"/>
          </w:tcPr>
          <w:p w:rsidR="00AF436B" w:rsidRPr="001C61FF" w:rsidRDefault="00AF436B" w:rsidP="00424449">
            <w:pPr>
              <w:spacing w:before="60" w:after="60"/>
              <w:jc w:val="center"/>
              <w:rPr>
                <w:sz w:val="20"/>
              </w:rPr>
            </w:pPr>
            <w:r>
              <w:rPr>
                <w:sz w:val="20"/>
              </w:rPr>
              <w:t xml:space="preserve">8.2 </w:t>
            </w:r>
          </w:p>
        </w:tc>
        <w:tc>
          <w:tcPr>
            <w:tcW w:w="2350" w:type="dxa"/>
            <w:vAlign w:val="center"/>
          </w:tcPr>
          <w:p w:rsidR="00AF436B" w:rsidRPr="001C61FF" w:rsidRDefault="00AF436B" w:rsidP="00424449">
            <w:pPr>
              <w:spacing w:before="60" w:after="60"/>
              <w:jc w:val="center"/>
              <w:rPr>
                <w:sz w:val="20"/>
              </w:rPr>
            </w:pPr>
            <w:r>
              <w:rPr>
                <w:sz w:val="20"/>
              </w:rPr>
              <w:t xml:space="preserve">powiaty, na terenie których znajdują się obszary o potencjale uzdrowiskowym </w:t>
            </w:r>
          </w:p>
        </w:tc>
        <w:tc>
          <w:tcPr>
            <w:tcW w:w="5470" w:type="dxa"/>
            <w:vAlign w:val="center"/>
          </w:tcPr>
          <w:p w:rsidR="00AF436B" w:rsidRPr="001C61FF" w:rsidRDefault="00AF436B" w:rsidP="00424449">
            <w:pPr>
              <w:spacing w:before="60" w:after="60"/>
              <w:jc w:val="left"/>
              <w:rPr>
                <w:sz w:val="20"/>
              </w:rPr>
            </w:pPr>
            <w:r>
              <w:rPr>
                <w:sz w:val="20"/>
              </w:rPr>
              <w:t xml:space="preserve">Ukierunkowanie terytorialne interwencji jest uzasadnione, formułując kryteria wyboru projektów należy określić preferencje dla inwestycji o największym wpływie na  lokalny rynek pracy oraz powiązanych z endogenicznymi potencjałami. </w:t>
            </w:r>
          </w:p>
        </w:tc>
      </w:tr>
      <w:tr w:rsidR="00AF436B" w:rsidRPr="001C61FF" w:rsidTr="00424449">
        <w:trPr>
          <w:trHeight w:val="584"/>
          <w:jc w:val="center"/>
        </w:trPr>
        <w:tc>
          <w:tcPr>
            <w:tcW w:w="1479" w:type="dxa"/>
            <w:vMerge/>
            <w:shd w:val="clear" w:color="auto" w:fill="E6E6E6" w:themeFill="background1" w:themeFillShade="E6"/>
            <w:vAlign w:val="center"/>
          </w:tcPr>
          <w:p w:rsidR="00AF436B" w:rsidRPr="001C61FF" w:rsidRDefault="00AF436B" w:rsidP="00424449">
            <w:pPr>
              <w:spacing w:before="60" w:after="60"/>
              <w:jc w:val="center"/>
              <w:rPr>
                <w:sz w:val="20"/>
              </w:rPr>
            </w:pPr>
          </w:p>
        </w:tc>
        <w:tc>
          <w:tcPr>
            <w:tcW w:w="470" w:type="dxa"/>
            <w:vAlign w:val="center"/>
          </w:tcPr>
          <w:p w:rsidR="00AF436B" w:rsidRPr="001C61FF" w:rsidRDefault="00AF436B" w:rsidP="00424449">
            <w:pPr>
              <w:spacing w:before="60" w:after="60"/>
              <w:jc w:val="center"/>
              <w:rPr>
                <w:sz w:val="20"/>
              </w:rPr>
            </w:pPr>
            <w:r>
              <w:rPr>
                <w:sz w:val="20"/>
              </w:rPr>
              <w:t>9.2</w:t>
            </w:r>
          </w:p>
        </w:tc>
        <w:tc>
          <w:tcPr>
            <w:tcW w:w="2350" w:type="dxa"/>
            <w:vAlign w:val="center"/>
          </w:tcPr>
          <w:p w:rsidR="00AF436B" w:rsidRPr="001C61FF" w:rsidRDefault="00AF436B" w:rsidP="00424449">
            <w:pPr>
              <w:spacing w:before="60" w:after="60"/>
              <w:jc w:val="center"/>
              <w:rPr>
                <w:sz w:val="20"/>
              </w:rPr>
            </w:pPr>
            <w:r>
              <w:rPr>
                <w:sz w:val="20"/>
              </w:rPr>
              <w:t>całe województwo, RIT w oparciu o LPR</w:t>
            </w:r>
          </w:p>
        </w:tc>
        <w:tc>
          <w:tcPr>
            <w:tcW w:w="5470" w:type="dxa"/>
            <w:vAlign w:val="center"/>
          </w:tcPr>
          <w:p w:rsidR="00AF436B" w:rsidRPr="001C61FF" w:rsidRDefault="00AF436B" w:rsidP="00424449">
            <w:pPr>
              <w:spacing w:before="60" w:after="60"/>
              <w:jc w:val="left"/>
              <w:rPr>
                <w:sz w:val="20"/>
              </w:rPr>
            </w:pPr>
            <w:r>
              <w:rPr>
                <w:sz w:val="20"/>
              </w:rPr>
              <w:t>Formuła RIT jest rozwiązaniem optymalnym, należy jednak pamiętać o konieczności ścisłego powiązania interwencji z</w:t>
            </w:r>
            <w:r w:rsidR="006E50D0">
              <w:rPr>
                <w:sz w:val="20"/>
              </w:rPr>
              <w:t> </w:t>
            </w:r>
            <w:r>
              <w:rPr>
                <w:sz w:val="20"/>
              </w:rPr>
              <w:t xml:space="preserve"> celami społecznymi i o komplementarności z priorytetami inwestycyjnymi finansowanymi z EFS.</w:t>
            </w:r>
          </w:p>
        </w:tc>
      </w:tr>
      <w:tr w:rsidR="00AF436B" w:rsidRPr="001C61FF" w:rsidTr="00424449">
        <w:trPr>
          <w:trHeight w:val="584"/>
          <w:jc w:val="center"/>
        </w:trPr>
        <w:tc>
          <w:tcPr>
            <w:tcW w:w="1479" w:type="dxa"/>
            <w:vMerge w:val="restart"/>
            <w:shd w:val="clear" w:color="auto" w:fill="E6E6E6" w:themeFill="background1" w:themeFillShade="E6"/>
            <w:vAlign w:val="center"/>
          </w:tcPr>
          <w:p w:rsidR="00AF436B" w:rsidRPr="002E7E53" w:rsidRDefault="00AF436B" w:rsidP="00424449">
            <w:pPr>
              <w:spacing w:before="60" w:after="60"/>
              <w:jc w:val="center"/>
              <w:rPr>
                <w:b/>
                <w:sz w:val="20"/>
              </w:rPr>
            </w:pPr>
            <w:r w:rsidRPr="002E7E53">
              <w:rPr>
                <w:b/>
                <w:sz w:val="20"/>
              </w:rPr>
              <w:t xml:space="preserve">VII. </w:t>
            </w:r>
            <w:r w:rsidRPr="002E7E53">
              <w:rPr>
                <w:b/>
                <w:i/>
                <w:sz w:val="20"/>
              </w:rPr>
              <w:t>Regionalny rynek pracy</w:t>
            </w:r>
          </w:p>
        </w:tc>
        <w:tc>
          <w:tcPr>
            <w:tcW w:w="470" w:type="dxa"/>
            <w:vAlign w:val="center"/>
          </w:tcPr>
          <w:p w:rsidR="00AF436B" w:rsidRPr="001C61FF" w:rsidRDefault="00AF436B" w:rsidP="00424449">
            <w:pPr>
              <w:spacing w:before="60" w:after="60"/>
              <w:jc w:val="center"/>
              <w:rPr>
                <w:sz w:val="20"/>
              </w:rPr>
            </w:pPr>
            <w:r>
              <w:rPr>
                <w:sz w:val="20"/>
              </w:rPr>
              <w:t>8.5</w:t>
            </w:r>
          </w:p>
        </w:tc>
        <w:tc>
          <w:tcPr>
            <w:tcW w:w="2350" w:type="dxa"/>
            <w:vAlign w:val="center"/>
          </w:tcPr>
          <w:p w:rsidR="00AF436B" w:rsidRPr="001C61FF" w:rsidRDefault="00AF436B" w:rsidP="00424449">
            <w:pPr>
              <w:spacing w:before="60" w:after="60"/>
              <w:jc w:val="center"/>
              <w:rPr>
                <w:sz w:val="20"/>
              </w:rPr>
            </w:pPr>
            <w:r>
              <w:rPr>
                <w:sz w:val="20"/>
              </w:rPr>
              <w:t>całe województwo</w:t>
            </w:r>
            <w:r>
              <w:rPr>
                <w:sz w:val="20"/>
              </w:rPr>
              <w:br/>
              <w:t>ZIT/RIT</w:t>
            </w:r>
          </w:p>
        </w:tc>
        <w:tc>
          <w:tcPr>
            <w:tcW w:w="5470" w:type="dxa"/>
            <w:vAlign w:val="center"/>
          </w:tcPr>
          <w:p w:rsidR="00AF436B" w:rsidRPr="001C61FF" w:rsidRDefault="00AF436B" w:rsidP="00424449">
            <w:pPr>
              <w:spacing w:before="60" w:after="60"/>
              <w:jc w:val="left"/>
              <w:rPr>
                <w:sz w:val="20"/>
              </w:rPr>
            </w:pPr>
            <w:r>
              <w:rPr>
                <w:sz w:val="20"/>
              </w:rPr>
              <w:t>Ewentualne wykorzystanie ZIT/RIT powinno być ściśle powiązane ze celami strategii rozwoju danego MOF oraz skoordynowane z innymi instrumentami polityki rynku pracy na danym obszarze oraz z działaniami inwestycyjnymi (PI 9.2)</w:t>
            </w:r>
          </w:p>
        </w:tc>
      </w:tr>
      <w:tr w:rsidR="00AF436B" w:rsidRPr="001C61FF" w:rsidTr="00AF436B">
        <w:trPr>
          <w:trHeight w:val="584"/>
          <w:jc w:val="center"/>
        </w:trPr>
        <w:tc>
          <w:tcPr>
            <w:tcW w:w="1479" w:type="dxa"/>
            <w:vMerge/>
            <w:tcBorders>
              <w:bottom w:val="single" w:sz="4" w:space="0" w:color="BFBFBF" w:themeColor="background1" w:themeShade="BF"/>
            </w:tcBorders>
            <w:shd w:val="clear" w:color="auto" w:fill="E6E6E6" w:themeFill="background1" w:themeFillShade="E6"/>
            <w:vAlign w:val="center"/>
          </w:tcPr>
          <w:p w:rsidR="00AF436B" w:rsidRPr="002E7E53" w:rsidRDefault="00AF436B" w:rsidP="00424449">
            <w:pPr>
              <w:spacing w:before="60" w:after="60"/>
              <w:jc w:val="center"/>
              <w:rPr>
                <w:b/>
                <w:sz w:val="20"/>
              </w:rPr>
            </w:pPr>
          </w:p>
        </w:tc>
        <w:tc>
          <w:tcPr>
            <w:tcW w:w="470" w:type="dxa"/>
            <w:tcBorders>
              <w:bottom w:val="single" w:sz="4" w:space="0" w:color="BFBFBF" w:themeColor="background1" w:themeShade="BF"/>
            </w:tcBorders>
            <w:vAlign w:val="center"/>
          </w:tcPr>
          <w:p w:rsidR="00AF436B" w:rsidRPr="001C61FF" w:rsidRDefault="00AF436B" w:rsidP="002B679A">
            <w:pPr>
              <w:spacing w:before="60" w:after="60"/>
              <w:jc w:val="center"/>
              <w:rPr>
                <w:sz w:val="20"/>
              </w:rPr>
            </w:pPr>
            <w:r>
              <w:rPr>
                <w:sz w:val="20"/>
              </w:rPr>
              <w:t>8.</w:t>
            </w:r>
            <w:r w:rsidR="002B679A">
              <w:rPr>
                <w:sz w:val="20"/>
              </w:rPr>
              <w:t>7</w:t>
            </w:r>
          </w:p>
        </w:tc>
        <w:tc>
          <w:tcPr>
            <w:tcW w:w="2350" w:type="dxa"/>
            <w:tcBorders>
              <w:bottom w:val="single" w:sz="4" w:space="0" w:color="BFBFBF" w:themeColor="background1" w:themeShade="BF"/>
            </w:tcBorders>
            <w:vAlign w:val="center"/>
          </w:tcPr>
          <w:p w:rsidR="00AF436B" w:rsidRPr="001C61FF" w:rsidRDefault="00F620DA" w:rsidP="00F620DA">
            <w:pPr>
              <w:spacing w:before="60" w:after="60"/>
              <w:jc w:val="center"/>
              <w:rPr>
                <w:sz w:val="20"/>
              </w:rPr>
            </w:pPr>
            <w:r>
              <w:rPr>
                <w:sz w:val="20"/>
              </w:rPr>
              <w:t>całe województwo,</w:t>
            </w:r>
            <w:r>
              <w:rPr>
                <w:sz w:val="20"/>
              </w:rPr>
              <w:br/>
            </w:r>
            <w:r w:rsidR="00AF436B">
              <w:rPr>
                <w:sz w:val="20"/>
              </w:rPr>
              <w:t>RIT</w:t>
            </w:r>
          </w:p>
        </w:tc>
        <w:tc>
          <w:tcPr>
            <w:tcW w:w="5470" w:type="dxa"/>
            <w:tcBorders>
              <w:bottom w:val="single" w:sz="4" w:space="0" w:color="BFBFBF" w:themeColor="background1" w:themeShade="BF"/>
            </w:tcBorders>
            <w:vAlign w:val="center"/>
          </w:tcPr>
          <w:p w:rsidR="00AF436B" w:rsidRPr="001C61FF" w:rsidRDefault="00AF436B" w:rsidP="00F620DA">
            <w:pPr>
              <w:spacing w:before="60" w:after="60"/>
              <w:jc w:val="left"/>
              <w:rPr>
                <w:sz w:val="20"/>
              </w:rPr>
            </w:pPr>
            <w:r>
              <w:rPr>
                <w:sz w:val="20"/>
              </w:rPr>
              <w:t>Ewentualne wykorzystanie RIT powinno być ściśle powiązane z</w:t>
            </w:r>
            <w:r w:rsidR="006E50D0">
              <w:rPr>
                <w:sz w:val="20"/>
              </w:rPr>
              <w:t> </w:t>
            </w:r>
            <w:r>
              <w:rPr>
                <w:sz w:val="20"/>
              </w:rPr>
              <w:t xml:space="preserve"> celami strategii rozwoju danego MOF oraz skoordynowane z</w:t>
            </w:r>
            <w:r w:rsidR="006E50D0">
              <w:rPr>
                <w:sz w:val="20"/>
              </w:rPr>
              <w:t> </w:t>
            </w:r>
            <w:r>
              <w:rPr>
                <w:sz w:val="20"/>
              </w:rPr>
              <w:t xml:space="preserve"> innymi instrumentami polityki rynku pracy na danym obszarze oraz z działaniami inwestycyjnymi (PI 9.2)</w:t>
            </w:r>
          </w:p>
        </w:tc>
      </w:tr>
      <w:tr w:rsidR="00AF436B" w:rsidRPr="001C61FF" w:rsidTr="00AF436B">
        <w:trPr>
          <w:trHeight w:val="584"/>
          <w:jc w:val="center"/>
        </w:trPr>
        <w:tc>
          <w:tcPr>
            <w:tcW w:w="1479" w:type="dxa"/>
            <w:tcBorders>
              <w:bottom w:val="single" w:sz="4" w:space="0" w:color="BFBFBF" w:themeColor="background1" w:themeShade="BF"/>
            </w:tcBorders>
            <w:shd w:val="clear" w:color="auto" w:fill="E6E6E6" w:themeFill="background1" w:themeFillShade="E6"/>
            <w:vAlign w:val="center"/>
          </w:tcPr>
          <w:p w:rsidR="00AF436B" w:rsidRPr="001C61FF" w:rsidRDefault="00AF436B" w:rsidP="00AF436B">
            <w:pPr>
              <w:spacing w:before="60" w:after="60"/>
              <w:jc w:val="center"/>
              <w:rPr>
                <w:sz w:val="20"/>
              </w:rPr>
            </w:pPr>
            <w:r>
              <w:rPr>
                <w:b/>
                <w:sz w:val="20"/>
              </w:rPr>
              <w:t>IX</w:t>
            </w:r>
            <w:r w:rsidRPr="002E7E53">
              <w:rPr>
                <w:b/>
                <w:sz w:val="20"/>
              </w:rPr>
              <w:t xml:space="preserve">. </w:t>
            </w:r>
            <w:r>
              <w:rPr>
                <w:b/>
                <w:i/>
                <w:sz w:val="20"/>
              </w:rPr>
              <w:t>Integracja społeczna</w:t>
            </w:r>
          </w:p>
        </w:tc>
        <w:tc>
          <w:tcPr>
            <w:tcW w:w="470" w:type="dxa"/>
            <w:tcBorders>
              <w:bottom w:val="single" w:sz="4" w:space="0" w:color="BFBFBF" w:themeColor="background1" w:themeShade="BF"/>
            </w:tcBorders>
            <w:vAlign w:val="center"/>
          </w:tcPr>
          <w:p w:rsidR="00AF436B" w:rsidRPr="001C61FF" w:rsidRDefault="00AF436B" w:rsidP="00424449">
            <w:pPr>
              <w:spacing w:before="60" w:after="60"/>
              <w:jc w:val="center"/>
              <w:rPr>
                <w:sz w:val="20"/>
              </w:rPr>
            </w:pPr>
            <w:r>
              <w:rPr>
                <w:sz w:val="20"/>
              </w:rPr>
              <w:t>9.7</w:t>
            </w:r>
          </w:p>
        </w:tc>
        <w:tc>
          <w:tcPr>
            <w:tcW w:w="2350" w:type="dxa"/>
            <w:tcBorders>
              <w:bottom w:val="single" w:sz="4" w:space="0" w:color="BFBFBF" w:themeColor="background1" w:themeShade="BF"/>
            </w:tcBorders>
            <w:vAlign w:val="center"/>
          </w:tcPr>
          <w:p w:rsidR="00AF436B" w:rsidRPr="001C61FF" w:rsidRDefault="00AF436B" w:rsidP="00424449">
            <w:pPr>
              <w:spacing w:before="60" w:after="60"/>
              <w:jc w:val="center"/>
              <w:rPr>
                <w:sz w:val="20"/>
              </w:rPr>
            </w:pPr>
            <w:r>
              <w:rPr>
                <w:sz w:val="20"/>
              </w:rPr>
              <w:t>całe województwo</w:t>
            </w:r>
            <w:r>
              <w:rPr>
                <w:sz w:val="20"/>
              </w:rPr>
              <w:br/>
              <w:t>RIT</w:t>
            </w:r>
          </w:p>
        </w:tc>
        <w:tc>
          <w:tcPr>
            <w:tcW w:w="5470" w:type="dxa"/>
            <w:tcBorders>
              <w:bottom w:val="single" w:sz="4" w:space="0" w:color="BFBFBF" w:themeColor="background1" w:themeShade="BF"/>
            </w:tcBorders>
            <w:vAlign w:val="center"/>
          </w:tcPr>
          <w:p w:rsidR="00AF436B" w:rsidRPr="001C61FF" w:rsidRDefault="00AF436B" w:rsidP="00F620DA">
            <w:pPr>
              <w:spacing w:before="60" w:after="60"/>
              <w:jc w:val="left"/>
              <w:rPr>
                <w:sz w:val="20"/>
              </w:rPr>
            </w:pPr>
            <w:r>
              <w:rPr>
                <w:sz w:val="20"/>
              </w:rPr>
              <w:t>Ewentualne wykorzystanie RIT powinno być ściśle powiązane z</w:t>
            </w:r>
            <w:r w:rsidR="006E50D0">
              <w:rPr>
                <w:sz w:val="20"/>
              </w:rPr>
              <w:t> </w:t>
            </w:r>
            <w:r>
              <w:rPr>
                <w:sz w:val="20"/>
              </w:rPr>
              <w:t xml:space="preserve"> celami strategii rozwoju danego MOF oraz skoordynowane z</w:t>
            </w:r>
            <w:r w:rsidR="006E50D0">
              <w:rPr>
                <w:sz w:val="20"/>
              </w:rPr>
              <w:t> </w:t>
            </w:r>
            <w:r>
              <w:rPr>
                <w:sz w:val="20"/>
              </w:rPr>
              <w:t xml:space="preserve"> innymi instrumentami  polityki społecznej na danym obszarze oraz z działaniami inwestycyjnymi (PI 9.2). </w:t>
            </w:r>
          </w:p>
        </w:tc>
      </w:tr>
    </w:tbl>
    <w:p w:rsidR="00AF436B" w:rsidRPr="001C61FF" w:rsidRDefault="00AF436B" w:rsidP="00AF436B">
      <w:pPr>
        <w:jc w:val="center"/>
        <w:rPr>
          <w:i/>
        </w:rPr>
      </w:pPr>
      <w:r w:rsidRPr="001C61FF">
        <w:rPr>
          <w:i/>
        </w:rPr>
        <w:t>Źródło: Opracowanie własne</w:t>
      </w:r>
    </w:p>
    <w:p w:rsidR="007520D5" w:rsidRDefault="007520D5">
      <w:pPr>
        <w:jc w:val="left"/>
        <w:rPr>
          <w:rFonts w:asciiTheme="majorHAnsi" w:eastAsiaTheme="majorEastAsia" w:hAnsiTheme="majorHAnsi" w:cstheme="majorBidi"/>
          <w:b/>
          <w:bCs/>
          <w:color w:val="28476D" w:themeColor="accent1" w:themeShade="BF"/>
          <w:sz w:val="28"/>
          <w:szCs w:val="28"/>
        </w:rPr>
      </w:pPr>
      <w:r>
        <w:br w:type="page"/>
      </w:r>
    </w:p>
    <w:p w:rsidR="00230E9D" w:rsidRDefault="00102EA9" w:rsidP="00102EA9">
      <w:pPr>
        <w:pStyle w:val="Nagwek1"/>
      </w:pPr>
      <w:bookmarkStart w:id="8" w:name="_Toc384914401"/>
      <w:r>
        <w:lastRenderedPageBreak/>
        <w:t>Ocena interwencji na poziomie osi priorytetowych</w:t>
      </w:r>
      <w:bookmarkEnd w:id="8"/>
    </w:p>
    <w:p w:rsidR="00424449" w:rsidRDefault="00424449" w:rsidP="00424449">
      <w:pPr>
        <w:pStyle w:val="Nagwek2"/>
      </w:pPr>
      <w:bookmarkStart w:id="9" w:name="_Toc375208050"/>
      <w:bookmarkStart w:id="10" w:name="_Toc384914402"/>
      <w:r>
        <w:t xml:space="preserve">Oś priorytetowa I. </w:t>
      </w:r>
      <w:r w:rsidRPr="00424449">
        <w:rPr>
          <w:i/>
        </w:rPr>
        <w:t>Konkurencyjna i innowacyjna gospodarka</w:t>
      </w:r>
      <w:bookmarkEnd w:id="9"/>
      <w:bookmarkEnd w:id="10"/>
    </w:p>
    <w:p w:rsidR="00424449" w:rsidRDefault="00424449" w:rsidP="00424449">
      <w:pPr>
        <w:pStyle w:val="Nagwek3"/>
      </w:pPr>
      <w:r>
        <w:t>Ocena przesłanek interwencji</w:t>
      </w:r>
    </w:p>
    <w:p w:rsidR="00424449" w:rsidRDefault="00424449" w:rsidP="00424449">
      <w:r>
        <w:t xml:space="preserve">Zawarta w projekcie RPO diagnoza stanowi co do zasady kompletne i wyczerpujące uzasadnienie interwencji. Wyzwanie sformułowane zostało w sposób ogólny, ale wynika z diagnozy, która prezentuje kontekst prowadzenia interwencji i umożliwia sformułowanie oczekiwanych efektów. Główna część diagnozy zawarta jest w sekcji 1.1, gdzie jest zorganizowana wokół pięciu punktów, przy czym każdy z nich koresponduje w przybliżeniu z jednym priorytetem inwestycyjnym osi priorytetowej I, logicznie uzasadniając planowaną interwencję. Odwołania do diagnozy i nieznaczne uszczegółowienia znajdują się też w opisach celu szczegółowego każdego priorytetu inwestycyjnego. Tym samym wyeliminowany został problem rozproszenia diagnozy między różnymi sekcjami dokumentu, występujący we wcześniejszych wersjach programu. </w:t>
      </w:r>
    </w:p>
    <w:p w:rsidR="00424449" w:rsidRDefault="00424449" w:rsidP="00424449">
      <w:r>
        <w:t xml:space="preserve">Usystematyzowano także podejście do branżowego wymiaru interwencji – koncentruje się ono w tej chwili w warstwie diagnostycznej na przywołaniu Regionalnej Strategii Innowacji w zakresie inteligentnych specjalizacji, </w:t>
      </w:r>
      <w:r w:rsidRPr="00D625E7">
        <w:t>przywoływanych następnie jako obszary preferowane w PI 1.2, 3.2 i 3.4. Równolegle do tego w PI 3.3 mowa jest o dziedzinach o dużym, nie w pełni wykorzystanym potencjale, przez które to obszary rozumie się produkcję żywności i turystykę (przy czym turystyce poświęcony jest osobny ustęp w sekcji 1.1, co nie ma miejsca dla produkcji żywności).</w:t>
      </w:r>
      <w:r>
        <w:t xml:space="preserve"> </w:t>
      </w:r>
    </w:p>
    <w:p w:rsidR="00424449" w:rsidRDefault="00424449" w:rsidP="00424449">
      <w:r w:rsidRPr="0036683B">
        <w:t>Dużo miejsca w części diagnostycznej poświęcono opisowi gospodarki województwa na tle kraju, w</w:t>
      </w:r>
      <w:r w:rsidR="006E50D0">
        <w:t> </w:t>
      </w:r>
      <w:r w:rsidRPr="0036683B">
        <w:t xml:space="preserve"> tym w zakresie badań i rozwoju oraz innowacyjności, ukazując dobrze specyfikę województwa, które łączy stosunkowo niski poziom PKB per capita z obecnością wysokorozwiniętego przemysłu oraz stosunkowo wysoką aktywnością badawczą przedsiębiorstw (w województwie w latach 2009-2012 doszło do ogromnego wzrostu nakładów na </w:t>
      </w:r>
      <w:proofErr w:type="spellStart"/>
      <w:r w:rsidRPr="0036683B">
        <w:t>B+R</w:t>
      </w:r>
      <w:proofErr w:type="spellEnd"/>
      <w:r w:rsidRPr="0036683B">
        <w:t>, w szczególności nakładów przedsiębiorstw) – co wskazuje na istnienie wysokiego potencjału rozwojowego, stanowiącego uzasadnienie planowanej interwencji w ramach PI 1.2. W związku z rezygnacją z realizacji PI 1.1. zrezygnowano w diagnozie ze szczegółowego opisu potencjału sektora naukowego, podkreślając jednocześnie, że mimo znacznej poprawy warunków infrastrukturalnych dzięki interwencji z perspektywy 2007-2013 silniejsze powiązanie nauk</w:t>
      </w:r>
      <w:r w:rsidR="00012029">
        <w:t>i</w:t>
      </w:r>
      <w:r w:rsidRPr="0036683B">
        <w:t xml:space="preserve"> z gospodarką jest nadal wyzwaniem, co uzasadniania realizację wsparcia na rzecz szkół wyższych i nauki – w kontekście zastosowań gospodarczych – w ramach PI 1.2. </w:t>
      </w:r>
    </w:p>
    <w:p w:rsidR="00424449" w:rsidRDefault="00424449" w:rsidP="00424449">
      <w:r>
        <w:t xml:space="preserve">Stosunkowo wiele uwagi poświęcono w diagnozie atrakcyjności inwestycyjnej województwa i jego międzynarodowej konkurencyjności, co jest uzasadnieniem interwencji w ramach PI 3.2, ale także 3.1 (w zakresie terenów inwestycyjnych) i w pewnym stopniu PI 3.3. Przedstawione informacje stanowią dobry punkt wyjścia do planowanej interwencji, chociaż na poziomie wdrożeniowym (w uszczegółowieniu, względnie w ZIT) wskazane jest pogłębienie refleksji nad założeniami dla projektów inwestycyjnych polegających na przygotowaniu terenów inwestycyjnych – również w kontekście wskazywanych w diagnozie znaczących postępów w tym zakresie w ostatnich latach. </w:t>
      </w:r>
    </w:p>
    <w:p w:rsidR="00424449" w:rsidRDefault="00424449">
      <w:pPr>
        <w:jc w:val="left"/>
      </w:pPr>
      <w:r>
        <w:br w:type="page"/>
      </w:r>
    </w:p>
    <w:p w:rsidR="00424449" w:rsidRDefault="00424449" w:rsidP="00424449"/>
    <w:tbl>
      <w:tblPr>
        <w:tblW w:w="0" w:type="auto"/>
        <w:tblLook w:val="04A0"/>
      </w:tblPr>
      <w:tblGrid>
        <w:gridCol w:w="4656"/>
        <w:gridCol w:w="4630"/>
      </w:tblGrid>
      <w:tr w:rsidR="00424449" w:rsidTr="00424449">
        <w:trPr>
          <w:trHeight w:val="60"/>
        </w:trPr>
        <w:tc>
          <w:tcPr>
            <w:tcW w:w="4656" w:type="dxa"/>
          </w:tcPr>
          <w:p w:rsidR="00424449" w:rsidRPr="004811B6" w:rsidRDefault="00424449" w:rsidP="00424449">
            <w:pPr>
              <w:pStyle w:val="Legenda"/>
            </w:pPr>
            <w:r w:rsidRPr="004811B6">
              <w:t xml:space="preserve">Wykres </w:t>
            </w:r>
            <w:r w:rsidR="001B04AC">
              <w:fldChar w:fldCharType="begin"/>
            </w:r>
            <w:r w:rsidR="008E1D74">
              <w:instrText xml:space="preserve"> SEQ Wykres \* ARABIC </w:instrText>
            </w:r>
            <w:r w:rsidR="001B04AC">
              <w:fldChar w:fldCharType="separate"/>
            </w:r>
            <w:r w:rsidR="00832320">
              <w:rPr>
                <w:noProof/>
              </w:rPr>
              <w:t>12</w:t>
            </w:r>
            <w:r w:rsidR="001B04AC">
              <w:rPr>
                <w:noProof/>
              </w:rPr>
              <w:fldChar w:fldCharType="end"/>
            </w:r>
            <w:r>
              <w:t>. Nakłady inwestycyjne i środki trwałe w przedsiębiorstwach województwa podkarpackiego (na mieszkańca, Polska=100)</w:t>
            </w:r>
          </w:p>
        </w:tc>
        <w:tc>
          <w:tcPr>
            <w:tcW w:w="4630" w:type="dxa"/>
          </w:tcPr>
          <w:p w:rsidR="00424449" w:rsidRDefault="00424449" w:rsidP="00424449">
            <w:pPr>
              <w:pStyle w:val="Legenda"/>
              <w:rPr>
                <w:rFonts w:eastAsia="Times New Roman"/>
              </w:rPr>
            </w:pPr>
            <w:r w:rsidRPr="004811B6">
              <w:t xml:space="preserve">Wykres </w:t>
            </w:r>
            <w:r w:rsidR="001B04AC">
              <w:fldChar w:fldCharType="begin"/>
            </w:r>
            <w:r w:rsidR="008E1D74">
              <w:instrText xml:space="preserve"> SEQ Wykres \* ARABIC </w:instrText>
            </w:r>
            <w:r w:rsidR="001B04AC">
              <w:fldChar w:fldCharType="separate"/>
            </w:r>
            <w:r w:rsidR="00832320">
              <w:rPr>
                <w:noProof/>
              </w:rPr>
              <w:t>13</w:t>
            </w:r>
            <w:r w:rsidR="001B04AC">
              <w:rPr>
                <w:noProof/>
              </w:rPr>
              <w:fldChar w:fldCharType="end"/>
            </w:r>
            <w:r w:rsidRPr="004811B6">
              <w:t xml:space="preserve">. </w:t>
            </w:r>
            <w:r>
              <w:t>Wartość dodana brutto na pracującego i PKB per capita w województwie podkarpackim (Polska=100).</w:t>
            </w:r>
          </w:p>
        </w:tc>
      </w:tr>
      <w:tr w:rsidR="00424449" w:rsidTr="00424449">
        <w:trPr>
          <w:trHeight w:val="3328"/>
        </w:trPr>
        <w:tc>
          <w:tcPr>
            <w:tcW w:w="4656" w:type="dxa"/>
            <w:hideMark/>
          </w:tcPr>
          <w:p w:rsidR="00424449" w:rsidRPr="00660897" w:rsidRDefault="00424449" w:rsidP="00424449">
            <w:r>
              <w:rPr>
                <w:noProof/>
                <w:lang w:eastAsia="pl-PL"/>
              </w:rPr>
              <w:drawing>
                <wp:inline distT="0" distB="0" distL="0" distR="0">
                  <wp:extent cx="2886075" cy="2122805"/>
                  <wp:effectExtent l="0" t="0" r="9525" b="0"/>
                  <wp:docPr id="63" name="Obraz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5"/>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6075" cy="2122805"/>
                          </a:xfrm>
                          <a:prstGeom prst="rect">
                            <a:avLst/>
                          </a:prstGeom>
                          <a:noFill/>
                          <a:ln>
                            <a:noFill/>
                          </a:ln>
                        </pic:spPr>
                      </pic:pic>
                    </a:graphicData>
                  </a:graphic>
                </wp:inline>
              </w:drawing>
            </w:r>
          </w:p>
        </w:tc>
        <w:tc>
          <w:tcPr>
            <w:tcW w:w="4630" w:type="dxa"/>
            <w:hideMark/>
          </w:tcPr>
          <w:p w:rsidR="00424449" w:rsidRDefault="00424449" w:rsidP="00424449">
            <w:pPr>
              <w:rPr>
                <w:rFonts w:ascii="Calibri" w:eastAsia="Calibri" w:hAnsi="Calibri" w:cs="Times New Roman"/>
              </w:rPr>
            </w:pPr>
            <w:r>
              <w:rPr>
                <w:rFonts w:ascii="Calibri" w:eastAsia="Calibri" w:hAnsi="Calibri" w:cs="Times New Roman"/>
                <w:noProof/>
                <w:lang w:eastAsia="pl-PL"/>
              </w:rPr>
              <w:drawing>
                <wp:inline distT="0" distB="0" distL="0" distR="0">
                  <wp:extent cx="2878455" cy="2154555"/>
                  <wp:effectExtent l="0" t="0" r="0" b="0"/>
                  <wp:docPr id="315" name="Obraz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2154555"/>
                          </a:xfrm>
                          <a:prstGeom prst="rect">
                            <a:avLst/>
                          </a:prstGeom>
                          <a:noFill/>
                          <a:ln>
                            <a:noFill/>
                          </a:ln>
                        </pic:spPr>
                      </pic:pic>
                    </a:graphicData>
                  </a:graphic>
                </wp:inline>
              </w:drawing>
            </w:r>
          </w:p>
        </w:tc>
      </w:tr>
      <w:tr w:rsidR="00424449" w:rsidTr="00424449">
        <w:trPr>
          <w:trHeight w:val="60"/>
        </w:trPr>
        <w:tc>
          <w:tcPr>
            <w:tcW w:w="9286" w:type="dxa"/>
            <w:gridSpan w:val="2"/>
          </w:tcPr>
          <w:p w:rsidR="00424449" w:rsidRDefault="00424449" w:rsidP="00424449">
            <w:pPr>
              <w:pStyle w:val="rdo"/>
              <w:rPr>
                <w:noProof/>
                <w:lang w:eastAsia="pl-PL"/>
              </w:rPr>
            </w:pPr>
            <w:r>
              <w:t>Źródło: BDL GUS.</w:t>
            </w:r>
          </w:p>
        </w:tc>
      </w:tr>
    </w:tbl>
    <w:p w:rsidR="00424449" w:rsidRDefault="00424449" w:rsidP="00424449"/>
    <w:p w:rsidR="00424449" w:rsidRDefault="00424449" w:rsidP="00424449">
      <w:r>
        <w:t>W kontekście planowanego znacznego wsparcia inwestycji przedsiębiorstw (alokacja na PI 3.3 stanowi ponad 9 proc. wartości programu), warto w omawianiu sytuacji gospodarki województwa zwrócić uwagę na dane nt. poziomu i ewolucji inwestycji i wydajności pracy w województwie, co tworzy istotny kontekst planowanej interwencji w zakresie wsparcia inwestycyjnego i</w:t>
      </w:r>
      <w:r w:rsidR="006E50D0">
        <w:t> </w:t>
      </w:r>
      <w:r>
        <w:t xml:space="preserve"> proinnowacyjnego przedsiębiorstw. Poniżej przedstawiamy dane, które wskazują na to, że mimo istotnego wzrostu inwestycji przedsiębiorstw w latach 2009-2011 (w odniesieniu do PKB były one nawet wyższe w 2011 niż w Polsce ogółem), to ze względu na niską bazę (tj. niższy od przeciętnego w</w:t>
      </w:r>
      <w:r w:rsidR="006E50D0">
        <w:t> </w:t>
      </w:r>
      <w:r>
        <w:t xml:space="preserve"> kraju poziom PKB) w ujęciu per capita tak inwestycje, jak w szczególności środki trwałe pozostają na poziomie niższym od krajowego – w stopniu zbliżonym do różnicy jaka dzieli wartość dodaną brutto na pracującego i PKB per capita od poziomów przeciętnych dla kraju. Jednocześnie widać brak konwergencji (a nawet pewną dywergencję) w zakresie PKB i produktywności w stosunku do średniej krajowej, co stanowi istotną przesłankę na rzecz intensyfikacji wsparcia przedsiębiorstw, przy nacisku na efekty w zakresie konkurencyjności i wzrostu produktywności. </w:t>
      </w:r>
    </w:p>
    <w:p w:rsidR="00424449" w:rsidRDefault="00424449" w:rsidP="00424449">
      <w:pPr>
        <w:rPr>
          <w:rFonts w:ascii="Calibri" w:eastAsia="Calibri" w:hAnsi="Calibri"/>
        </w:rPr>
      </w:pPr>
    </w:p>
    <w:p w:rsidR="006E50D0" w:rsidRDefault="006E50D0">
      <w:pPr>
        <w:jc w:val="left"/>
        <w:rPr>
          <w:rFonts w:asciiTheme="majorHAnsi" w:eastAsiaTheme="majorEastAsia" w:hAnsiTheme="majorHAnsi" w:cstheme="majorBidi"/>
          <w:b/>
          <w:bCs/>
          <w:color w:val="366092" w:themeColor="accent1"/>
        </w:rPr>
      </w:pPr>
      <w:r>
        <w:br w:type="page"/>
      </w:r>
    </w:p>
    <w:p w:rsidR="00424449" w:rsidRDefault="00424449" w:rsidP="00424449">
      <w:pPr>
        <w:pStyle w:val="Nagwek3"/>
      </w:pPr>
      <w:r>
        <w:lastRenderedPageBreak/>
        <w:t>Ocena logiki interwencji i proponowanych form wsparcia</w:t>
      </w:r>
    </w:p>
    <w:p w:rsidR="00424449" w:rsidRDefault="00424449" w:rsidP="00424449">
      <w:r>
        <w:t>Logika interwencji w ramach osi priorytetowej I. została w toku prac nad RPO poddana istotnym zmianom, polegającym na przeformułowaniu celów szczegółowych (priorytetów inwestycyjnych) i celu ogólnego osi. Cel osi został ostatecznie sformułowany jako „wzrost poziomu przedsiębiorczości oraz poprawa zewnętrznej konkurencyjności regionu”, co silnie koresponduje z wyzwaniem przedstawionym dla obszaru gospodarczego w sekcji 1.1.</w:t>
      </w:r>
    </w:p>
    <w:p w:rsidR="00424449" w:rsidRDefault="00424449" w:rsidP="00424449">
      <w:r>
        <w:t xml:space="preserve">Oś priorytetowa I. łączy w sobie interwencję celu tematycznego I. oraz celu tematycznego III., Łączenie w ramach jednej osi interwencji z </w:t>
      </w:r>
      <w:r w:rsidR="00DF268A">
        <w:t xml:space="preserve">zakresu </w:t>
      </w:r>
      <w:r>
        <w:t xml:space="preserve">wsparcia szeroko pojętego </w:t>
      </w:r>
      <w:proofErr w:type="spellStart"/>
      <w:r>
        <w:t>B+R</w:t>
      </w:r>
      <w:proofErr w:type="spellEnd"/>
      <w:r>
        <w:t xml:space="preserve"> przedsiębiorstw (CT1 .) oraz konkurencyjności i rozwoju MŚP (CT 3.) ma swoje uzasadnienie zarówno w grupie odbiorców wsparcia, jak i wyzwania</w:t>
      </w:r>
      <w:r w:rsidR="00DF268A">
        <w:t>ch</w:t>
      </w:r>
      <w:r>
        <w:t xml:space="preserve"> dla regionu w obszarze gospodarki. </w:t>
      </w:r>
    </w:p>
    <w:p w:rsidR="00424449" w:rsidRDefault="00424449" w:rsidP="00424449">
      <w:r>
        <w:t>Zrezygnowano z realizacji priorytetu inwestycyjnego 1.1, jednocześnie elementy interwencji we wcześniejszych pracach przewidziane do realizacji w ramach PI 1.1 znalazły się w priorytecie 1.2. Ponieważ zakres interwencji poszczególnych PI (wg projektu demarkacji) jest szeroki i czasem pokrywający się między PI, wybór ten ma raczej charakter decyzji organizacyjno-administracyjnej, a</w:t>
      </w:r>
      <w:r w:rsidR="006E50D0">
        <w:t> </w:t>
      </w:r>
      <w:r>
        <w:t xml:space="preserve"> nie dokonania wyboru co do tego, co będzie a co nie będzie realizowane w ramach RPO. Wybór </w:t>
      </w:r>
      <w:r w:rsidR="00BA7EC1">
        <w:t xml:space="preserve">ten </w:t>
      </w:r>
      <w:r>
        <w:t>jest dokonany na poziomie decyzji o celu szczegółowym poszczególnych PI oraz realizowanych typów projektów i jest w szczegółach opisany poniżej.</w:t>
      </w:r>
    </w:p>
    <w:p w:rsidR="00424449" w:rsidRDefault="00424449" w:rsidP="00424449">
      <w:r>
        <w:t>Pewnym argumentem przeciw łączeniu interwencji z obu celów jest dualność gospodarki województwa, przejawiająca się obecnością wysokorozwiniętego przemysłu i bardzo wysokimi (w</w:t>
      </w:r>
      <w:r w:rsidR="006E50D0">
        <w:t> </w:t>
      </w:r>
      <w:r>
        <w:t xml:space="preserve"> porównaniu do innych polskich regionów) nakładami przedsiębiorstw na działalność </w:t>
      </w:r>
      <w:proofErr w:type="spellStart"/>
      <w:r>
        <w:t>B+R</w:t>
      </w:r>
      <w:proofErr w:type="spellEnd"/>
      <w:r>
        <w:t xml:space="preserve"> z jednej strony, z drugiej – niskim ogólnym poziomem przedsiębiorczości i wartości dodanej na pracującego oraz dużym społeczno-gospodarczym znaczeniem rolnictwa (wysokie zatrudnienie przy bardzo niskiej produktywności). Jednocześnie logika programowania RPO umożliwia formułowanie różnych celów szczegółowych w ramach PI, które – jak ma to miejsce w OP I. – realizują jeden cel OP. W związku z tym realizacja obu celów tematycznych w ramach jednej osi priorytetowej jest możliwa i – w ramach przyjętej logiki programowania – umożliwi prawidłowe zaplanowanie interwencji.</w:t>
      </w:r>
    </w:p>
    <w:p w:rsidR="00424449" w:rsidRDefault="00424449" w:rsidP="00424449"/>
    <w:p w:rsidR="00424449" w:rsidRDefault="00424449" w:rsidP="00424449">
      <w:pPr>
        <w:spacing w:after="0"/>
        <w:jc w:val="left"/>
        <w:rPr>
          <w:rFonts w:asciiTheme="majorHAnsi" w:eastAsiaTheme="majorEastAsia" w:hAnsiTheme="majorHAnsi" w:cstheme="majorBidi"/>
        </w:rPr>
        <w:sectPr w:rsidR="00424449" w:rsidSect="00607AE2">
          <w:headerReference w:type="default" r:id="rId55"/>
          <w:footerReference w:type="default" r:id="rId56"/>
          <w:pgSz w:w="11906" w:h="16838"/>
          <w:pgMar w:top="1985" w:right="1418" w:bottom="1418" w:left="1418" w:header="708" w:footer="708" w:gutter="0"/>
          <w:pgNumType w:start="2"/>
          <w:cols w:space="708"/>
          <w:docGrid w:linePitch="360"/>
        </w:sectPr>
      </w:pPr>
    </w:p>
    <w:p w:rsidR="00EE1F82" w:rsidRPr="00424449" w:rsidRDefault="00EE1F82" w:rsidP="00EE1F82">
      <w:pPr>
        <w:pStyle w:val="Legenda"/>
        <w:keepNext/>
      </w:pPr>
      <w:r w:rsidRPr="00424449">
        <w:lastRenderedPageBreak/>
        <w:t xml:space="preserve">Schemat </w:t>
      </w:r>
      <w:r w:rsidR="001B04AC">
        <w:fldChar w:fldCharType="begin"/>
      </w:r>
      <w:r w:rsidR="008E1D74">
        <w:instrText xml:space="preserve"> SEQ Schemat \* ARABIC </w:instrText>
      </w:r>
      <w:r w:rsidR="001B04AC">
        <w:fldChar w:fldCharType="separate"/>
      </w:r>
      <w:r w:rsidR="00832320">
        <w:rPr>
          <w:noProof/>
        </w:rPr>
        <w:t>3</w:t>
      </w:r>
      <w:r w:rsidR="001B04AC">
        <w:rPr>
          <w:noProof/>
        </w:rPr>
        <w:fldChar w:fldCharType="end"/>
      </w:r>
      <w:r w:rsidRPr="00424449">
        <w:t>. Model logiczny osi priorytetowej 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640"/>
      </w:tblGrid>
      <w:tr w:rsidR="00EE1F82" w:rsidRPr="00424449" w:rsidTr="002B502A">
        <w:trPr>
          <w:jc w:val="center"/>
        </w:trPr>
        <w:tc>
          <w:tcPr>
            <w:tcW w:w="9286" w:type="dxa"/>
            <w:shd w:val="clear" w:color="auto" w:fill="A4BEDD" w:themeFill="accent1" w:themeFillTint="66"/>
          </w:tcPr>
          <w:p w:rsidR="00EE1F82" w:rsidRPr="00424449" w:rsidRDefault="00EE1F82" w:rsidP="002B502A">
            <w:pPr>
              <w:spacing w:before="120" w:after="120"/>
              <w:jc w:val="center"/>
              <w:rPr>
                <w:i/>
                <w:noProof/>
                <w:lang w:eastAsia="pl-PL"/>
              </w:rPr>
            </w:pPr>
            <w:r>
              <w:rPr>
                <w:b/>
                <w:i/>
                <w:noProof/>
                <w:sz w:val="20"/>
                <w:lang w:eastAsia="pl-PL"/>
              </w:rPr>
              <w:t xml:space="preserve">oś priorytetowa </w:t>
            </w:r>
            <w:r w:rsidRPr="00424449">
              <w:rPr>
                <w:b/>
                <w:i/>
                <w:noProof/>
                <w:sz w:val="20"/>
                <w:lang w:eastAsia="pl-PL"/>
              </w:rPr>
              <w:t xml:space="preserve">I. </w:t>
            </w:r>
            <w:r w:rsidRPr="00EE1F82">
              <w:rPr>
                <w:b/>
                <w:i/>
                <w:noProof/>
                <w:sz w:val="20"/>
                <w:lang w:eastAsia="pl-PL"/>
              </w:rPr>
              <w:t>Konkurencyjna i innowacyjna gospodarka</w:t>
            </w:r>
          </w:p>
        </w:tc>
      </w:tr>
      <w:tr w:rsidR="00EE1F82" w:rsidRPr="00424449" w:rsidTr="002B502A">
        <w:trPr>
          <w:jc w:val="center"/>
        </w:trPr>
        <w:tc>
          <w:tcPr>
            <w:tcW w:w="9286" w:type="dxa"/>
          </w:tcPr>
          <w:p w:rsidR="00EE1F82" w:rsidRPr="00424449" w:rsidRDefault="001B04AC" w:rsidP="002B502A">
            <w:pPr>
              <w:spacing w:before="240" w:after="240"/>
              <w:rPr>
                <w:i/>
              </w:rPr>
            </w:pPr>
            <w:r w:rsidRPr="001B04AC">
              <w:rPr>
                <w:noProof/>
                <w:lang w:eastAsia="pl-PL"/>
              </w:rPr>
              <w:pict>
                <v:rect id="Prostokąt 644" o:spid="_x0000_s1031" style="position:absolute;left:0;text-align:left;margin-left:26.75pt;margin-top:170.15pt;width:56.7pt;height:153.35pt;z-index:2518497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" fillcolor="#366092" stroked="f">
                  <v:textbox>
                    <w:txbxContent>
                      <w:p w:rsidR="00832320" w:rsidRDefault="00832320" w:rsidP="00DF3890">
                        <w:pPr>
                          <w:jc w:val="center"/>
                        </w:pPr>
                        <w:r>
                          <w:rPr>
                            <w:rFonts w:eastAsia="SimSun"/>
                            <w:b/>
                            <w:bCs/>
                            <w:color w:val="FCFCFC"/>
                            <w:sz w:val="16"/>
                            <w:szCs w:val="16"/>
                          </w:rPr>
                          <w:t>typy projektów</w:t>
                        </w:r>
                      </w:p>
                    </w:txbxContent>
                  </v:textbox>
                </v:rect>
              </w:pict>
            </w:r>
            <w:r w:rsidRPr="001B04AC">
              <w:rPr>
                <w:noProof/>
                <w:lang w:eastAsia="pl-PL"/>
              </w:rPr>
              <w:pict>
                <v:rect id="Prostokąt 643" o:spid="_x0000_s1032" style="position:absolute;left:0;text-align:left;margin-left:26.3pt;margin-top:78.8pt;width:57pt;height:76.65pt;z-index:25184870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" fillcolor="#76923c" stroked="f">
                  <v:textbox>
                    <w:txbxContent>
                      <w:p w:rsidR="00832320" w:rsidRPr="00056E84" w:rsidRDefault="00832320" w:rsidP="00DF3890">
                        <w:pPr>
                          <w:jc w:val="center"/>
                          <w:rPr>
                            <w:color w:val="FFFFFF"/>
                          </w:rPr>
                        </w:pPr>
                        <w:r w:rsidRPr="00056E84">
                          <w:rPr>
                            <w:rFonts w:eastAsia="SimSun"/>
                            <w:b/>
                            <w:bCs/>
                            <w:color w:val="FFFFFF"/>
                            <w:sz w:val="16"/>
                            <w:szCs w:val="16"/>
                          </w:rPr>
                          <w:t>cele szczegółowe PI</w:t>
                        </w:r>
                      </w:p>
                    </w:txbxContent>
                  </v:textbox>
                </v:rect>
              </w:pict>
            </w:r>
            <w:r w:rsidRPr="001B04AC">
              <w:rPr>
                <w:noProof/>
                <w:lang w:eastAsia="pl-PL"/>
              </w:rPr>
              <w:pict>
                <v:rect id="Prostokąt 642" o:spid="_x0000_s1033" style="position:absolute;left:0;text-align:left;margin-left:25.9pt;margin-top:11.95pt;width:53.95pt;height:47.5pt;z-index:251847680;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" fillcolor="#8064a2 [3207]" stroked="f">
                  <v:textbox>
                    <w:txbxContent>
                      <w:p w:rsidR="00832320" w:rsidRDefault="00832320" w:rsidP="00DF3890">
                        <w:pPr>
                          <w:jc w:val="center"/>
                          <w:rPr>
                            <w:b/>
                            <w:color w:val="FFFFFF" w:themeColor="background1"/>
                            <w:sz w:val="16"/>
                          </w:rPr>
                        </w:pPr>
                        <w:r>
                          <w:rPr>
                            <w:rFonts w:eastAsia="SimSun"/>
                            <w:b/>
                            <w:color w:val="FFFFFF" w:themeColor="background1"/>
                            <w:sz w:val="16"/>
                          </w:rPr>
                          <w:t>cele OP</w:t>
                        </w:r>
                      </w:p>
                    </w:txbxContent>
                  </v:textbox>
                </v:rect>
              </w:pict>
            </w:r>
            <w:r w:rsidRPr="001B04AC">
              <w:rPr>
                <w:noProof/>
                <w:lang w:eastAsia="pl-PL"/>
              </w:rPr>
            </w:r>
            <w:r w:rsidRPr="001B04AC">
              <w:rPr>
                <w:noProof/>
                <w:lang w:eastAsia="pl-PL"/>
              </w:rPr>
              <w:pict>
                <v:group id="Grupa 41" o:spid="_x0000_s1034" style="width:757.4pt;height:321.7pt;mso-position-horizontal-relative:char;mso-position-vertical-relative:line" coordsize="88976,46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">
                  <v:rect id="Prostokąt 218" o:spid="_x0000_s1035" style="position:absolute;width:87814;height:463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2aMEA&#10;AADcAAAADwAAAGRycy9kb3ducmV2LnhtbERPy4rCMBTdD/gP4QpuBk3HhUg1ighiEUGmPtaX5toW&#10;m5vaZNr692Yx4PJw3st1byrRUuNKywp+JhEI4szqknMFl/NuPAfhPLLGyjIpeJGD9WrwtcRY245/&#10;qU19LkIIuxgVFN7XsZQuK8igm9iaOHB32xj0ATa51A12IdxUchpFM2mw5NBQYE3bgrJH+mcUdNmp&#10;vZ2Pe3n6viWWn8lzm14PSo2G/WYBwlPvP+J/d6IVTKOwNpwJR0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h9mjBAAAA3AAAAA8AAAAAAAAAAAAAAAAAmAIAAGRycy9kb3du&#10;cmV2LnhtbFBLBQYAAAAABAAEAPUAAACGAwAAAAA=&#10;" filled="f" stroked="f"/>
                  <v:rect id="Prostokąt 219" o:spid="_x0000_s1036" style="position:absolute;left:16104;top:1300;width:72872;height:31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JV+8UA&#10;AADcAAAADwAAAGRycy9kb3ducmV2LnhtbESPQWsCMRSE7wX/Q3iCt5rVQ7Fb47IItqKXVgXp7bF5&#10;3SzdvKxJquu/bwTB4zAz3zDzoretOJMPjWMFk3EGgrhyuuFawWG/ep6BCBFZY+uYFFwpQLEYPM0x&#10;1+7CX3TexVokCIccFZgYu1zKUBmyGMauI07ej/MWY5K+ltrjJcFtK6dZ9iItNpwWDHa0NFT97v6s&#10;Aj87mtN6v3mvyuWH/m62dTx1n0qNhn35BiJSHx/he3utFUyzV7idSUd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IlX7xQAAANwAAAAPAAAAAAAAAAAAAAAAAJgCAABkcnMv&#10;ZG93bnJldi54bWxQSwUGAAAAAAQABAD1AAAAigMAAAAA&#10;" fillcolor="#ccc0d9" stroked="f">
                    <v:textbox>
                      <w:txbxContent>
                        <w:p w:rsidR="00832320" w:rsidRDefault="00832320" w:rsidP="00EE1F82">
                          <w:pPr>
                            <w:jc w:val="center"/>
                            <w:rPr>
                              <w:b/>
                              <w:sz w:val="18"/>
                              <w:szCs w:val="18"/>
                            </w:rPr>
                          </w:pPr>
                          <w:r w:rsidRPr="00FB2632">
                            <w:rPr>
                              <w:b/>
                              <w:sz w:val="18"/>
                              <w:szCs w:val="18"/>
                            </w:rPr>
                            <w:t>wzrost poziomu przedsiębiorczości oraz poprawa zewnętrznej konkurencyjności regionu</w:t>
                          </w:r>
                        </w:p>
                      </w:txbxContent>
                    </v:textbox>
                  </v:rect>
                  <v:rect id="Prostokąt 220" o:spid="_x0000_s1037" style="position:absolute;left:60748;top:9695;width:17413;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1GqsEA&#10;AADcAAAADwAAAGRycy9kb3ducmV2LnhtbERPy4rCMBTdC/5DuII7Te1CpGMUGRTUhfhCmN2lubZl&#10;mpvSxLb69WYhuDyc93zZmVI0VLvCsoLJOAJBnFpdcKbgetmMZiCcR9ZYWiYFT3KwXPR7c0y0bflE&#10;zdlnIoSwS1BB7n2VSOnSnAy6sa2IA3e3tUEfYJ1JXWMbwk0p4yiaSoMFh4YcK/rNKf0/P4yCY7uJ&#10;t7fmdTsUr/t+vSL71+6sUsNBt/oB4anzX/HHvdUK4kmYH86EI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RqrBAAAA3AAAAA8AAAAAAAAAAAAAAAAAmAIAAGRycy9kb3du&#10;cmV2LnhtbFBLBQYAAAAABAAEAPUAAACGAwAAAAA=&#10;" fillcolor="#c2d69b" stroked="f">
                    <v:textbox>
                      <w:txbxContent>
                        <w:p w:rsidR="00832320" w:rsidRPr="00DF3890" w:rsidRDefault="00832320" w:rsidP="00D6710A">
                          <w:pPr>
                            <w:jc w:val="center"/>
                            <w:rPr>
                              <w:sz w:val="14"/>
                              <w:szCs w:val="14"/>
                            </w:rPr>
                          </w:pPr>
                          <w:r w:rsidRPr="00DF3890">
                            <w:rPr>
                              <w:sz w:val="14"/>
                              <w:szCs w:val="14"/>
                            </w:rPr>
                            <w:t>trwałe przyspieszenie rozwoju podkarpackich</w:t>
                          </w:r>
                          <w:r>
                            <w:rPr>
                              <w:sz w:val="14"/>
                              <w:szCs w:val="14"/>
                            </w:rPr>
                            <w:t xml:space="preserve"> </w:t>
                          </w:r>
                          <w:r w:rsidRPr="00DF3890">
                            <w:rPr>
                              <w:sz w:val="14"/>
                              <w:szCs w:val="14"/>
                            </w:rPr>
                            <w:t>przedsiębiorstw (3.3)</w:t>
                          </w:r>
                        </w:p>
                      </w:txbxContent>
                    </v:textbox>
                  </v:rect>
                  <v:shapetype id="_x0000_t32" coordsize="21600,21600" o:spt="32" o:oned="t" path="m,l21600,21600e" filled="f">
                    <v:path arrowok="t" fillok="f" o:connecttype="none"/>
                    <o:lock v:ext="edit" shapetype="t"/>
                  </v:shapetype>
                  <v:shape id="Łącznik prosty ze strzałką 221" o:spid="_x0000_s1038" type="#_x0000_t32" style="position:absolute;left:51859;top:4408;width:16972;height:528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bWXcIAAADcAAAADwAAAGRycy9kb3ducmV2LnhtbESPQUsDMRSE70L/Q3gFbzbZClLWpsUW&#10;inu124PHx+aZLN28LEnsrv56Iwgeh5n5htnuZz+IG8XUB9ZQrRQI4i6Ynq2GS3t62IBIGdngEJg0&#10;fFGC/W5xt8XahInf6HbOVhQIpxo1uJzHWsrUOfKYVmEkLt5HiB5zkdFKE3EqcD/ItVJP0mPPZcHh&#10;SEdH3fX86TVEM54a8u13o5R7tK8H+95eJ63vl/PLM4hMc/4P/7Ubo2FdVfB7phwBuf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EbWXcIAAADcAAAADwAAAAAAAAAAAAAA&#10;AAChAgAAZHJzL2Rvd25yZXYueG1sUEsFBgAAAAAEAAQA+QAAAJADAAAAAA==&#10;" strokecolor="#335a8a">
                    <v:stroke endarrow="open"/>
                  </v:shape>
                  <v:rect id="Prostokąt 223" o:spid="_x0000_s1039" style="position:absolute;left:16104;top:9620;width:126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N9RsQA&#10;AADcAAAADwAAAGRycy9kb3ducmV2LnhtbESPT4vCMBTE7wt+h/AEb2tqD7JUo4goqAdZ/yB4ezTP&#10;tti8lCa21U9vhIU9DjPzG2Y670wpGqpdYVnBaBiBIE6tLjhTcD6tv39AOI+ssbRMCp7kYD7rfU0x&#10;0bblAzVHn4kAYZeggtz7KpHSpTkZdENbEQfvZmuDPsg6k7rGNsBNKeMoGkuDBYeFHCta5pTejw+j&#10;4Lddx5tL87rsi9dtt1qQvbZbq9Sg3y0mIDx1/j/8195oBfEohs+ZcATk7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TfUbEAAAA3AAAAA8AAAAAAAAAAAAAAAAAmAIAAGRycy9k&#10;b3ducmV2LnhtbFBLBQYAAAAABAAEAPUAAACJAwAAAAA=&#10;" fillcolor="#c2d69b" stroked="f">
                    <v:textbox>
                      <w:txbxContent>
                        <w:p w:rsidR="00832320" w:rsidRPr="00DF3890" w:rsidRDefault="00832320" w:rsidP="00EE1F82">
                          <w:pPr>
                            <w:pStyle w:val="NormalnyWeb"/>
                            <w:spacing w:before="0" w:beforeAutospacing="0" w:after="200" w:afterAutospacing="0" w:line="276" w:lineRule="auto"/>
                            <w:jc w:val="center"/>
                            <w:rPr>
                              <w:sz w:val="14"/>
                              <w:szCs w:val="14"/>
                            </w:rPr>
                          </w:pPr>
                          <w:r w:rsidRPr="00DF3890">
                            <w:rPr>
                              <w:rFonts w:ascii="Calibri" w:eastAsia="Calibri" w:hAnsi="Calibri"/>
                              <w:sz w:val="14"/>
                              <w:szCs w:val="14"/>
                            </w:rPr>
                            <w:t>wzrost działalności badawczo-rozwojowej i innowacyjnej w województwie podkarpackim (1.2)</w:t>
                          </w:r>
                        </w:p>
                      </w:txbxContent>
                    </v:textbox>
                  </v:rect>
                  <v:rect id="Prostokąt 264" o:spid="_x0000_s1040" style="position:absolute;left:31908;top:9695;width:126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3cYA&#10;AADcAAAADwAAAGRycy9kb3ducmV2LnhtbESPQWvCQBSE74X+h+UVeqsbUygldRUpDUQPxaZF8PbI&#10;PpNg9m3IrknMr3cFocdhZr5hFqvRNKKnztWWFcxnEQjiwuqaSwV/v+nLOwjnkTU2lknBhRyslo8P&#10;C0y0HfiH+tyXIkDYJaig8r5NpHRFRQbdzLbEwTvazqAPsiul7nAIcNPIOIrepMGaw0KFLX1WVJzy&#10;s1GwG9I42/fT/ruejtuvNdnDsLFKPT+N6w8Qnkb/H763M60gnr/C7Uw4An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Y3cYAAADcAAAADwAAAAAAAAAAAAAAAACYAgAAZHJz&#10;L2Rvd25yZXYueG1sUEsFBgAAAAAEAAQA9QAAAIsDAAAAAA==&#10;" fillcolor="#c2d69b" stroked="f">
                    <v:textbox>
                      <w:txbxContent>
                        <w:p w:rsidR="00832320" w:rsidRPr="00DF3890" w:rsidRDefault="00832320" w:rsidP="00EE1F82">
                          <w:pPr>
                            <w:pStyle w:val="NormalnyWeb"/>
                            <w:spacing w:before="0" w:beforeAutospacing="0" w:after="200" w:afterAutospacing="0" w:line="276" w:lineRule="auto"/>
                            <w:jc w:val="center"/>
                            <w:rPr>
                              <w:sz w:val="14"/>
                              <w:szCs w:val="14"/>
                            </w:rPr>
                          </w:pPr>
                          <w:r w:rsidRPr="00DF3890">
                            <w:rPr>
                              <w:rFonts w:ascii="Calibri" w:eastAsia="Calibri" w:hAnsi="Calibri"/>
                              <w:sz w:val="14"/>
                              <w:szCs w:val="14"/>
                            </w:rPr>
                            <w:t>poprawa warunków do rozwoju przedsiębiorczości w województwie podkarpackim (3.1)</w:t>
                          </w:r>
                        </w:p>
                      </w:txbxContent>
                    </v:textbox>
                  </v:rect>
                  <v:rect id="Prostokąt 265" o:spid="_x0000_s1041" style="position:absolute;left:47230;top:9605;width:12405;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ZAqcYA&#10;AADcAAAADwAAAGRycy9kb3ducmV2LnhtbESPQWvCQBSE74X+h+UVeqsbQykldRUpDUQPxaZF8PbI&#10;PpNg9m3IrknMr3cFocdhZr5hFqvRNKKnztWWFcxnEQjiwuqaSwV/v+nLOwjnkTU2lknBhRyslo8P&#10;C0y0HfiH+tyXIkDYJaig8r5NpHRFRQbdzLbEwTvazqAPsiul7nAIcNPIOIrepMGaw0KFLX1WVJzy&#10;s1GwG9I42/fT/ruejtuvNdnDsLFKPT+N6w8Qnkb/H763M60gnr/C7Uw4An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ZAqcYAAADcAAAADwAAAAAAAAAAAAAAAACYAgAAZHJz&#10;L2Rvd25yZXYueG1sUEsFBgAAAAAEAAQA9QAAAIsDAAAAAA==&#10;" fillcolor="#c2d69b" stroked="f">
                    <v:textbox>
                      <w:txbxContent>
                        <w:p w:rsidR="00832320" w:rsidRPr="00DF3890" w:rsidRDefault="00832320" w:rsidP="00EE1F82">
                          <w:pPr>
                            <w:pStyle w:val="NormalnyWeb"/>
                            <w:spacing w:before="0" w:beforeAutospacing="0" w:after="200" w:afterAutospacing="0" w:line="276" w:lineRule="auto"/>
                            <w:jc w:val="center"/>
                            <w:rPr>
                              <w:sz w:val="14"/>
                              <w:szCs w:val="14"/>
                            </w:rPr>
                          </w:pPr>
                          <w:r w:rsidRPr="00DF3890">
                            <w:rPr>
                              <w:rFonts w:ascii="Calibri" w:eastAsia="Calibri" w:hAnsi="Calibri"/>
                              <w:sz w:val="14"/>
                              <w:szCs w:val="14"/>
                            </w:rPr>
                            <w:t>wzrost atrakcyjności inwestycyjnej regionu oraz poprawa konkurencyjności przedsiębiorstw na rynkach zagranicznych (3.2)</w:t>
                          </w:r>
                        </w:p>
                      </w:txbxContent>
                    </v:textbox>
                  </v:rect>
                  <v:shape id="Łącznik prosty ze strzałką 267" o:spid="_x0000_s1042" type="#_x0000_t32" style="position:absolute;left:22404;top:4408;width:29455;height:521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P/gcQAAADcAAAADwAAAGRycy9kb3ducmV2LnhtbESPQYvCMBSE7wv+h/AEb2tqRV26RlFB&#10;ES9Lq3t/2zzbYvNSmqj13xthweMwM98w82VnanGj1lWWFYyGEQji3OqKCwWn4/bzC4TzyBpry6Tg&#10;QQ6Wi97HHBNt75zSLfOFCBB2CSoovW8SKV1ekkE3tA1x8M62NeiDbAupW7wHuKllHEVTabDisFBi&#10;Q5uS8kt2NQrGsz+3Pv9O4mtxGP/sd3adpdNUqUG/W32D8NT5d/i/vdcK4tEEXmfCEZC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BxAAAANwAAAAPAAAAAAAAAAAA&#10;AAAAAKECAABkcnMvZG93bnJldi54bWxQSwUGAAAAAAQABAD5AAAAkgMAAAAA&#10;" strokecolor="#335a8a">
                    <v:stroke endarrow="open"/>
                  </v:shape>
                  <v:shape id="Łącznik prosty ze strzałką 268" o:spid="_x0000_s1043" type="#_x0000_t32" style="position:absolute;left:38208;top:4408;width:13651;height:528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Fh9sUAAADcAAAADwAAAGRycy9kb3ducmV2LnhtbESPQWvCQBSE7wX/w/KE3ppNIk0ldZWm&#10;0CK9SFK9P7PPJDT7NmRXTf99tyB4HGbmG2a1mUwvLjS6zrKCJIpBENdWd9wo2H9/PC1BOI+ssbdM&#10;Cn7JwWY9e1hhru2VS7pUvhEBwi5HBa33Qy6lq1sy6CI7EAfvZEeDPsixkXrEa4CbXqZxnEmDHYeF&#10;Fgd6b6n+qc5GweLl6IrT4Tk9N1+L3fbTFlWZlUo9zqe3VxCeJn8P39pbrSBNMvg/E46AX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4Fh9sUAAADcAAAADwAAAAAAAAAA&#10;AAAAAAChAgAAZHJzL2Rvd25yZXYueG1sUEsFBgAAAAAEAAQA+QAAAJMDAAAAAA==&#10;" strokecolor="#335a8a">
                    <v:stroke endarrow="open"/>
                  </v:shape>
                  <v:shape id="Łącznik prosty ze strzałką 269" o:spid="_x0000_s1044" type="#_x0000_t32" style="position:absolute;left:51859;top:4408;width:3572;height:5203;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PrssMAAADcAAAADwAAAGRycy9kb3ducmV2LnhtbESPQUsDMRSE70L/Q3gFbzZpBS1r09IK&#10;xb3a7aHHx+aZLN28LEnsrv56Iwgeh5n5htnsJt+LG8XUBdawXCgQxG0wHVsN5+b4sAaRMrLBPjBp&#10;+KIEu+3sboOVCSO/0+2UrSgQThVqcDkPlZSpdeQxLcJAXLyPED3mIqOVJuJY4L6XK6WepMeOy4LD&#10;gV4dtdfTp9cQzXCsyTfftVLu0b4d7KW5jlrfz6f9C4hMU/4P/7Vro2G1fIbfM+UI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j67LDAAAA3AAAAA8AAAAAAAAAAAAA&#10;AAAAoQIAAGRycy9kb3ducmV2LnhtbFBLBQYAAAAABAAEAPkAAACRAwAAAAA=&#10;" strokecolor="#335a8a">
                    <v:stroke endarrow="open"/>
                  </v:shape>
                  <v:rect id="Prostokąt 270" o:spid="_x0000_s1045" style="position:absolute;left:60748;top:22912;width:17413;height:2199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khcAA&#10;AADcAAAADwAAAGRycy9kb3ducmV2LnhtbERPzYrCMBC+C/sOYRa8adoKq1SjLIIgCgt29wHGZrYt&#10;NpOaxFrf3hwEjx/f/2ozmFb05HxjWUE6TUAQl1Y3XCn4+91NFiB8QNbYWiYFD/KwWX+MVphre+cT&#10;9UWoRAxhn6OCOoQul9KXNRn0U9sRR+7fOoMhQldJ7fAew00rsyT5kgYbjg01drStqbwUN6Ng11/n&#10;p3O6mP1kx3Ap54Und/BKjT+H7yWIQEN4i1/uvVaQpXFt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4tkhcAAAADcAAAADwAAAAAAAAAAAAAAAACYAgAAZHJzL2Rvd25y&#10;ZXYueG1sUEsFBgAAAAAEAAQA9QAAAIUDAAAAAA==&#10;" fillcolor="#d1deee" stroked="f">
                    <v:textbox>
                      <w:txbxContent>
                        <w:p w:rsidR="00832320" w:rsidRPr="00B5188F" w:rsidRDefault="00832320" w:rsidP="00EE1F82">
                          <w:pPr>
                            <w:pStyle w:val="NormalnyWeb"/>
                            <w:spacing w:before="0" w:beforeAutospacing="0" w:after="40" w:afterAutospacing="0"/>
                            <w:rPr>
                              <w:rFonts w:ascii="Calibri" w:hAnsi="Calibri"/>
                              <w:sz w:val="14"/>
                              <w:szCs w:val="14"/>
                            </w:rPr>
                          </w:pPr>
                          <w:r w:rsidRPr="00B5188F">
                            <w:rPr>
                              <w:rFonts w:ascii="Calibri" w:hAnsi="Calibri"/>
                              <w:sz w:val="14"/>
                              <w:szCs w:val="14"/>
                            </w:rPr>
                            <w:t>- wsparcie rozwoju nowopowstałych firm, w zakresie rozwoju produktów i usług opartych na TIK, sprzedaży produktów i usług w Internecie, tworzenia i udostępniania usług elektronicznych</w:t>
                          </w:r>
                        </w:p>
                        <w:p w:rsidR="00832320" w:rsidRPr="00B5188F" w:rsidRDefault="00832320" w:rsidP="00EE1F82">
                          <w:pPr>
                            <w:pStyle w:val="NormalnyWeb"/>
                            <w:spacing w:before="0" w:beforeAutospacing="0" w:after="40" w:afterAutospacing="0"/>
                            <w:rPr>
                              <w:rFonts w:ascii="Calibri" w:hAnsi="Calibri"/>
                              <w:sz w:val="14"/>
                              <w:szCs w:val="14"/>
                            </w:rPr>
                          </w:pPr>
                          <w:r w:rsidRPr="00B5188F">
                            <w:rPr>
                              <w:rFonts w:ascii="Calibri" w:hAnsi="Calibri"/>
                              <w:sz w:val="14"/>
                              <w:szCs w:val="14"/>
                            </w:rPr>
                            <w:t>- wsparcie inwestycyjne przedsiębiorstw społecznych</w:t>
                          </w:r>
                        </w:p>
                        <w:p w:rsidR="00832320" w:rsidRPr="00B5188F" w:rsidRDefault="00832320" w:rsidP="00EE1F82">
                          <w:pPr>
                            <w:pStyle w:val="NormalnyWeb"/>
                            <w:spacing w:before="0" w:beforeAutospacing="0" w:after="40" w:afterAutospacing="0"/>
                            <w:rPr>
                              <w:rFonts w:ascii="Calibri" w:hAnsi="Calibri"/>
                              <w:sz w:val="14"/>
                              <w:szCs w:val="14"/>
                            </w:rPr>
                          </w:pPr>
                          <w:r w:rsidRPr="00B5188F">
                            <w:rPr>
                              <w:rFonts w:ascii="Calibri" w:hAnsi="Calibri"/>
                              <w:sz w:val="14"/>
                              <w:szCs w:val="14"/>
                            </w:rPr>
                            <w:t>- wsparcie rozwoju istniejących MŚP poprzez dofinansowanie projektów inwestycyjnych ukierunkowanych na wdrażanie nowych rozwiązań (…)</w:t>
                          </w:r>
                        </w:p>
                        <w:p w:rsidR="00832320" w:rsidRPr="00B5188F" w:rsidRDefault="00832320" w:rsidP="00EE1F82">
                          <w:pPr>
                            <w:pStyle w:val="NormalnyWeb"/>
                            <w:spacing w:before="0" w:beforeAutospacing="0" w:after="40" w:afterAutospacing="0"/>
                            <w:rPr>
                              <w:rFonts w:ascii="Calibri" w:hAnsi="Calibri"/>
                              <w:sz w:val="14"/>
                              <w:szCs w:val="14"/>
                            </w:rPr>
                          </w:pPr>
                          <w:r w:rsidRPr="00B5188F">
                            <w:rPr>
                              <w:rFonts w:ascii="Calibri" w:hAnsi="Calibri"/>
                              <w:sz w:val="14"/>
                              <w:szCs w:val="14"/>
                            </w:rPr>
                            <w:t xml:space="preserve">- wsparcie inwestycyjne w MŚP poprawiające potencjał konkurencyjny firm z sektora turystyki. </w:t>
                          </w:r>
                        </w:p>
                        <w:p w:rsidR="00832320" w:rsidRPr="00B5188F" w:rsidRDefault="00832320" w:rsidP="00EE1F82">
                          <w:pPr>
                            <w:pStyle w:val="NormalnyWeb"/>
                            <w:spacing w:before="0" w:beforeAutospacing="0" w:after="40" w:afterAutospacing="0"/>
                            <w:rPr>
                              <w:rFonts w:ascii="Calibri" w:hAnsi="Calibri"/>
                              <w:sz w:val="14"/>
                              <w:szCs w:val="14"/>
                            </w:rPr>
                          </w:pPr>
                          <w:r w:rsidRPr="00B5188F">
                            <w:rPr>
                              <w:rFonts w:ascii="Calibri" w:hAnsi="Calibri"/>
                              <w:sz w:val="14"/>
                              <w:szCs w:val="14"/>
                            </w:rPr>
                            <w:t>- wsparcie kapitałowe funduszy pożyczkowych i poręczeniowych.</w:t>
                          </w:r>
                        </w:p>
                      </w:txbxContent>
                    </v:textbox>
                  </v:rect>
                  <v:rect id="Prostokąt 272" o:spid="_x0000_s1046" style="position:absolute;left:16104;top:22720;width:12600;height:221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fBHsQA&#10;AADcAAAADwAAAGRycy9kb3ducmV2LnhtbESP0WrCQBRE3wv9h+UWfKubRKg2ZhUpCGKhYNoPuM1e&#10;k5Ds3bi7jfHv3UKhj8PMnGGK7WR6MZLzrWUF6TwBQVxZ3XKt4Otz/7wC4QOyxt4yKbiRh+3m8aHA&#10;XNsrn2gsQy0ihH2OCpoQhlxKXzVk0M/tQBy9s3UGQ5SultrhNcJNL7MkeZEGW44LDQ701lDVlT9G&#10;wX68LE/f6Wrxkb2HrlqWntzRKzV7mnZrEIGm8B/+ax+0gix9hd8z8Qj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HwR7EAAAA3AAAAA8AAAAAAAAAAAAAAAAAmAIAAGRycy9k&#10;b3ducmV2LnhtbFBLBQYAAAAABAAEAPUAAACJAwAAAAA=&#10;" fillcolor="#d1deee" stroked="f">
                    <v:textbox>
                      <w:txbxContent>
                        <w:p w:rsidR="00832320" w:rsidRDefault="00832320" w:rsidP="00EE1F82">
                          <w:pPr>
                            <w:pStyle w:val="NormalnyWeb"/>
                            <w:spacing w:before="0" w:beforeAutospacing="0" w:after="60" w:afterAutospacing="0"/>
                            <w:rPr>
                              <w:rFonts w:ascii="Calibri" w:hAnsi="Calibri"/>
                              <w:sz w:val="14"/>
                              <w:szCs w:val="14"/>
                            </w:rPr>
                          </w:pPr>
                          <w:r w:rsidRPr="00056E84">
                            <w:rPr>
                              <w:rFonts w:ascii="Calibri" w:hAnsi="Calibri"/>
                              <w:sz w:val="14"/>
                              <w:szCs w:val="14"/>
                            </w:rPr>
                            <w:t xml:space="preserve">- </w:t>
                          </w:r>
                          <w:r w:rsidRPr="00145EBF">
                            <w:rPr>
                              <w:rFonts w:ascii="Calibri" w:hAnsi="Calibri"/>
                              <w:sz w:val="14"/>
                              <w:szCs w:val="14"/>
                            </w:rPr>
                            <w:t>wsparcie na stworzenie lub rozwój istniejącego zaplecza badawczo-rozwojowego przedsiębiorstw oraz jednostek naukowych, służącego działalności innowacyjnej;</w:t>
                          </w:r>
                        </w:p>
                        <w:p w:rsidR="00832320" w:rsidRPr="00145EBF" w:rsidRDefault="00832320" w:rsidP="00EE1F82">
                          <w:pPr>
                            <w:pStyle w:val="NormalnyWeb"/>
                            <w:spacing w:before="0" w:beforeAutospacing="0" w:after="60" w:afterAutospacing="0"/>
                            <w:rPr>
                              <w:rFonts w:ascii="Calibri" w:hAnsi="Calibri"/>
                              <w:sz w:val="14"/>
                              <w:szCs w:val="14"/>
                            </w:rPr>
                          </w:pPr>
                          <w:r>
                            <w:rPr>
                              <w:rFonts w:ascii="Calibri" w:hAnsi="Calibri"/>
                              <w:sz w:val="14"/>
                              <w:szCs w:val="14"/>
                            </w:rPr>
                            <w:t xml:space="preserve">- </w:t>
                          </w:r>
                          <w:r w:rsidRPr="00145EBF">
                            <w:rPr>
                              <w:rFonts w:ascii="Calibri" w:hAnsi="Calibri"/>
                              <w:sz w:val="14"/>
                              <w:szCs w:val="14"/>
                            </w:rPr>
                            <w:t>projekty B+R przedsiębiorstw,  obejmujące realizację badań, prac rozwojowych, aż po wytworzenie linii demonstracyjnej;</w:t>
                          </w:r>
                        </w:p>
                        <w:p w:rsidR="00832320" w:rsidRPr="00056E84" w:rsidRDefault="00832320" w:rsidP="00EE1F82">
                          <w:pPr>
                            <w:pStyle w:val="NormalnyWeb"/>
                            <w:spacing w:before="0" w:beforeAutospacing="0" w:after="60" w:afterAutospacing="0"/>
                            <w:rPr>
                              <w:rFonts w:ascii="Calibri" w:hAnsi="Calibri"/>
                              <w:sz w:val="14"/>
                              <w:szCs w:val="14"/>
                            </w:rPr>
                          </w:pPr>
                          <w:r>
                            <w:rPr>
                              <w:rFonts w:ascii="Calibri" w:hAnsi="Calibri"/>
                              <w:sz w:val="14"/>
                              <w:szCs w:val="14"/>
                            </w:rPr>
                            <w:t xml:space="preserve">- </w:t>
                          </w:r>
                          <w:r w:rsidRPr="00145EBF">
                            <w:rPr>
                              <w:rFonts w:ascii="Calibri" w:hAnsi="Calibri"/>
                              <w:sz w:val="14"/>
                              <w:szCs w:val="14"/>
                            </w:rPr>
                            <w:t>projekty związane z wdrożeniem prac B+R w działalności przedsiębiorstw.</w:t>
                          </w:r>
                        </w:p>
                      </w:txbxContent>
                    </v:textbox>
                  </v:rect>
                  <v:rect id="Prostokąt 273" o:spid="_x0000_s1047" style="position:absolute;left:31908;top:22774;width:12600;height:221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GiPr8A&#10;AADcAAAADwAAAGRycy9kb3ducmV2LnhtbERPzYrCMBC+C75DGGFvmlpBpRpFBEFcEOzuA4zN2Bab&#10;SU1i7b795iB4/Pj+19veNKIj52vLCqaTBARxYXXNpYLfn8N4CcIHZI2NZVLwRx62m+FgjZm2L75Q&#10;l4dSxBD2GSqoQmgzKX1RkUE/sS1x5G7WGQwRulJqh68YbhqZJslcGqw5NlTY0r6i4p4/jYJD91hc&#10;rtPl7Jx+h3uxyD25k1fqa9TvViAC9eEjfruPWkGaxvnxTDwCcvM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aI+vwAAANwAAAAPAAAAAAAAAAAAAAAAAJgCAABkcnMvZG93bnJl&#10;di54bWxQSwUGAAAAAAQABAD1AAAAhAMAAAAA&#10;" fillcolor="#d1deee" stroked="f">
                    <v:textbox>
                      <w:txbxContent>
                        <w:p w:rsidR="00832320" w:rsidRDefault="00832320" w:rsidP="00EE1F82">
                          <w:pPr>
                            <w:pStyle w:val="NormalnyWeb"/>
                            <w:spacing w:before="0" w:beforeAutospacing="0" w:after="60" w:afterAutospacing="0"/>
                            <w:rPr>
                              <w:rFonts w:ascii="Calibri" w:hAnsi="Calibri"/>
                              <w:sz w:val="14"/>
                              <w:szCs w:val="14"/>
                            </w:rPr>
                          </w:pPr>
                          <w:r>
                            <w:rPr>
                              <w:rFonts w:ascii="Calibri" w:hAnsi="Calibri"/>
                              <w:sz w:val="14"/>
                              <w:szCs w:val="14"/>
                            </w:rPr>
                            <w:t xml:space="preserve">- </w:t>
                          </w:r>
                          <w:r w:rsidRPr="00145EBF">
                            <w:rPr>
                              <w:rFonts w:ascii="Calibri" w:hAnsi="Calibri"/>
                              <w:sz w:val="14"/>
                              <w:szCs w:val="14"/>
                            </w:rPr>
                            <w:t>wsparcie inkubatorów przedsiębiorczości oraz ośrodków wspierającyc</w:t>
                          </w:r>
                          <w:r>
                            <w:rPr>
                              <w:rFonts w:ascii="Calibri" w:hAnsi="Calibri"/>
                              <w:sz w:val="14"/>
                              <w:szCs w:val="14"/>
                            </w:rPr>
                            <w:t xml:space="preserve">h przedsiębiorczość akademicką </w:t>
                          </w:r>
                        </w:p>
                        <w:p w:rsidR="00832320" w:rsidRPr="00056E84" w:rsidRDefault="00832320" w:rsidP="00EE1F82">
                          <w:pPr>
                            <w:pStyle w:val="NormalnyWeb"/>
                            <w:spacing w:before="0" w:beforeAutospacing="0" w:after="60" w:afterAutospacing="0"/>
                            <w:rPr>
                              <w:rFonts w:ascii="Calibri" w:hAnsi="Calibri"/>
                              <w:sz w:val="14"/>
                              <w:szCs w:val="14"/>
                            </w:rPr>
                          </w:pPr>
                          <w:r>
                            <w:rPr>
                              <w:rFonts w:ascii="Calibri" w:hAnsi="Calibri"/>
                              <w:sz w:val="14"/>
                              <w:szCs w:val="14"/>
                            </w:rPr>
                            <w:t xml:space="preserve">- </w:t>
                          </w:r>
                          <w:r w:rsidRPr="00145EBF">
                            <w:rPr>
                              <w:rFonts w:ascii="Calibri" w:hAnsi="Calibri"/>
                              <w:sz w:val="14"/>
                              <w:szCs w:val="14"/>
                            </w:rPr>
                            <w:t>wsparcie tworzenia nowej i istniejącej infrastruktury na rzecz rozwoju gospodarczego poprzez m.in. uporządkowanie i przygotowanie terenów inwestycyjnych (w tym również drogi dojazdowe  do terenów inwestycyjnych, jako niezbędny element projektu)</w:t>
                          </w:r>
                        </w:p>
                      </w:txbxContent>
                    </v:textbox>
                  </v:rect>
                  <v:rect id="Prostokąt 274" o:spid="_x0000_s1048" style="position:absolute;left:47230;top:22912;width:12405;height:2199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0HpcMA&#10;AADcAAAADwAAAGRycy9kb3ducmV2LnhtbESP0WrCQBRE3wX/YblC33STFGpIXUUEQSwIxn7AbfY2&#10;CWbvxt01pn/vFgp9HGbmDLPajKYTAznfWlaQLhIQxJXVLdcKPi/7eQ7CB2SNnWVS8EMeNuvpZIWF&#10;tg8+01CGWkQI+wIVNCH0hZS+asigX9ieOHrf1hkMUbpaaoePCDedzJLkTRpsOS402NOuoepa3o2C&#10;/XBbnr/S/PWUfYRrtSw9uaNX6mU2bt9BBBrDf/ivfdAKsiyF3zPxCM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0HpcMAAADcAAAADwAAAAAAAAAAAAAAAACYAgAAZHJzL2Rv&#10;d25yZXYueG1sUEsFBgAAAAAEAAQA9QAAAIgDAAAAAA==&#10;" fillcolor="#d1deee" stroked="f">
                    <v:textbox>
                      <w:txbxContent>
                        <w:p w:rsidR="00832320" w:rsidRPr="00056E84" w:rsidRDefault="00832320" w:rsidP="00EE1F82">
                          <w:pPr>
                            <w:pStyle w:val="NormalnyWeb"/>
                            <w:spacing w:before="0" w:beforeAutospacing="0" w:after="0" w:afterAutospacing="0" w:line="276" w:lineRule="auto"/>
                            <w:rPr>
                              <w:rFonts w:ascii="Calibri" w:hAnsi="Calibri"/>
                              <w:sz w:val="14"/>
                              <w:szCs w:val="14"/>
                            </w:rPr>
                          </w:pPr>
                          <w:r w:rsidRPr="00056E84">
                            <w:rPr>
                              <w:rFonts w:ascii="Calibri" w:hAnsi="Calibri"/>
                              <w:sz w:val="14"/>
                              <w:szCs w:val="14"/>
                            </w:rPr>
                            <w:t xml:space="preserve">- </w:t>
                          </w:r>
                          <w:r w:rsidRPr="00145EBF">
                            <w:rPr>
                              <w:rFonts w:ascii="Calibri" w:hAnsi="Calibri"/>
                              <w:sz w:val="14"/>
                              <w:szCs w:val="14"/>
                            </w:rPr>
                            <w:t>promocja gospodarcza i turystyczna regionu w wymiarze krajowym i międzynarodowym</w:t>
                          </w:r>
                        </w:p>
                      </w:txbxContent>
                    </v:textbox>
                  </v:rect>
                  <v:shape id="Łącznik prosty ze strzałką 276" o:spid="_x0000_s1049" type="#_x0000_t32" style="position:absolute;left:22404;top:20420;width:0;height:23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atSMQAAADcAAAADwAAAGRycy9kb3ducmV2LnhtbESPQWvCQBSE74X+h+UVeqsbV7QSXaUW&#10;KtKLJOr9mX0mwezbkF01/nu3IPQ4zMw3zHzZ20ZcqfO1Yw3DQQKCuHCm5lLDfvfzMQXhA7LBxjFp&#10;uJOH5eL1ZY6pcTfO6JqHUkQI+xQ1VCG0qZS+qMiiH7iWOHon11kMUXalNB3eItw2UiXJRFqsOS5U&#10;2NJ3RcU5v1gNo8+jX50OY3Upf0fbzdqt8mySaf3+1n/NQATqw3/42d4YDUop+DsTj4B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q1IxAAAANwAAAAPAAAAAAAAAAAA&#10;AAAAAKECAABkcnMvZG93bnJldi54bWxQSwUGAAAAAAQABAD5AAAAkgMAAAAA&#10;" strokecolor="#335a8a">
                    <v:stroke endarrow="open"/>
                  </v:shape>
                  <v:shape id="Łącznik prosty ze strzałką 277" o:spid="_x0000_s1050" type="#_x0000_t32" style="position:absolute;left:38208;top:20495;width:0;height:227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oI08UAAADcAAAADwAAAGRycy9kb3ducmV2LnhtbESPQWvCQBSE74X+h+UVvNVNE6oS3YRa&#10;UMRLSVrvz+wzCc2+DdlV47/vCgWPw8x8w6zy0XTiQoNrLSt4m0YgiCurW64V/HxvXhcgnEfW2Fkm&#10;BTdykGfPTytMtb1yQZfS1yJA2KWooPG+T6V0VUMG3dT2xME72cGgD3KopR7wGuCmk3EUzaTBlsNC&#10;gz19NlT9lmejIJkf3fp0eI/P9T752m3tuixmhVKTl/FjCcLT6B/h//ZOK4jjBO5nwhGQ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oI08UAAADcAAAADwAAAAAAAAAA&#10;AAAAAAChAgAAZHJzL2Rvd25yZXYueG1sUEsFBgAAAAAEAAQA+QAAAJMDAAAAAA==&#10;" strokecolor="#335a8a">
                    <v:stroke endarrow="open"/>
                  </v:shape>
                  <v:shape id="Łącznik prosty ze strzałką 278" o:spid="_x0000_s1051" type="#_x0000_t32" style="position:absolute;left:53433;top:20405;width:0;height:250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2rS8QAAADcAAAADwAAAGRycy9kb3ducmV2LnhtbESPQWvCQBSE70L/w/IK3symkcYSXaUW&#10;LOJFEu39mX0modm3Ibtq+u+7guBxmJlvmMVqMK24Uu8aywreohgEcWl1w5WC42Ez+QDhPLLG1jIp&#10;+CMHq+XLaIGZtjfO6Vr4SgQIuwwV1N53mZSurMmgi2xHHLyz7Q36IPtK6h5vAW5amcRxKg02HBZq&#10;7OirpvK3uBgF09nJrc8/78ml2k3322+7LvI0V2r8OnzOQXga/DP8aG+1giRJ4X4mHA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7atLxAAAANwAAAAPAAAAAAAAAAAA&#10;AAAAAKECAABkcnMvZG93bnJldi54bWxQSwUGAAAAAAQABAD5AAAAkgMAAAAA&#10;" strokecolor="#335a8a">
                    <v:stroke endarrow="open"/>
                  </v:shape>
                  <v:shape id="Łącznik prosty ze strzałką 279" o:spid="_x0000_s1052" type="#_x0000_t32" style="position:absolute;left:68831;top:20495;width:0;height:241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EO0MUAAADcAAAADwAAAGRycy9kb3ducmV2LnhtbESPQWvCQBSE7wX/w/KE3pqNkRpJXUWF&#10;ltBLSVrvr9lnEsy+DdnVpP++Wyh4HGbmG2azm0wnbjS41rKCRRSDIK6sbrlW8PX5+rQG4Tyyxs4y&#10;KfghB7vt7GGDmbYjF3QrfS0ChF2GChrv+0xKVzVk0EW2Jw7e2Q4GfZBDLfWAY4CbTiZxvJIGWw4L&#10;DfZ0bKi6lFejYJl+u8P59Jxc6/flR/5mD2WxKpR6nE/7FxCeJn8P/7dzrSBJUvg7E46A3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qEO0MUAAADcAAAADwAAAAAAAAAA&#10;AAAAAAChAgAAZHJzL2Rvd25yZXYueG1sUEsFBgAAAAAEAAQA+QAAAJMDAAAAAA==&#10;" strokecolor="#335a8a">
                    <v:stroke endarrow="open"/>
                  </v:shape>
                  <v:rect id="Prostokąt 280" o:spid="_x0000_s1053" style="position:absolute;left:79036;top:9611;width:994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qEvcUA&#10;AADcAAAADwAAAGRycy9kb3ducmV2LnhtbESPT4vCMBTE78J+h/AWvGm6FUS6RpFlBfUg/lkEb4/m&#10;2Rabl9Jk2+qnN4LgcZiZ3zDTeWdK0VDtCssKvoYRCOLU6oIzBX/H5WACwnlkjaVlUnAjB/PZR2+K&#10;ibYt76k5+EwECLsEFeTeV4mULs3JoBvaijh4F1sb9EHWmdQ1tgFuShlH0VgaLDgs5FjRT07p9fBv&#10;FOzaZbw6NffTtrhfNr8Lsud2bZXqf3aLbxCeOv8Ov9orrSAejeB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qoS9xQAAANwAAAAPAAAAAAAAAAAAAAAAAJgCAABkcnMv&#10;ZG93bnJldi54bWxQSwUGAAAAAAQABAD1AAAAigMAAAAA&#10;" fillcolor="#c2d69b" stroked="f">
                    <v:textbox>
                      <w:txbxContent>
                        <w:p w:rsidR="00832320" w:rsidRPr="00DF3890" w:rsidRDefault="00832320" w:rsidP="00EE1F82">
                          <w:pPr>
                            <w:pStyle w:val="NormalnyWeb"/>
                            <w:spacing w:before="0" w:beforeAutospacing="0" w:after="200" w:afterAutospacing="0" w:line="276" w:lineRule="auto"/>
                            <w:jc w:val="center"/>
                            <w:rPr>
                              <w:sz w:val="14"/>
                              <w:szCs w:val="14"/>
                            </w:rPr>
                          </w:pPr>
                          <w:r w:rsidRPr="00DF3890">
                            <w:rPr>
                              <w:rFonts w:ascii="Calibri" w:eastAsia="Calibri" w:hAnsi="Calibri"/>
                              <w:sz w:val="14"/>
                              <w:szCs w:val="14"/>
                            </w:rPr>
                            <w:t xml:space="preserve">podniesienie jakości i rozszerzenie usług oferowanych przez  IOB (3.4) </w:t>
                          </w:r>
                        </w:p>
                      </w:txbxContent>
                    </v:textbox>
                  </v:rect>
                  <v:shape id="Łącznik prosty ze strzałką 281" o:spid="_x0000_s1054" type="#_x0000_t32" style="position:absolute;left:51859;top:4408;width:32147;height:5203;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QppcMAAADcAAAADwAAAGRycy9kb3ducmV2LnhtbESPQUsDMRSE74L/ITzBm03aipS1aWmF&#10;4l7t9tDjY/NMlm5eliTtrv56Iwgeh5n5hllvJ9+LG8XUBdYwnykQxG0wHVsNp+bwtAKRMrLBPjBp&#10;+KIE28393RorE0b+oNsxW1EgnCrU4HIeKilT68hjmoWBuHifIXrMRUYrTcSxwH0vF0q9SI8dlwWH&#10;A705ai/Hq9cQzXCoyTfftVJuad/39txcRq0fH6bdK4hMU/4P/7Vro2GxfIbfM+UI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EKaXDAAAA3AAAAA8AAAAAAAAAAAAA&#10;AAAAoQIAAGRycy9kb3ducmV2LnhtbFBLBQYAAAAABAAEAPkAAACRAwAAAAA=&#10;" strokecolor="#335a8a">
                    <v:stroke endarrow="open"/>
                  </v:shape>
                  <v:rect id="Prostokąt 282" o:spid="_x0000_s1055" style="position:absolute;left:79036;top:22912;width:9940;height:2199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Xe8MA&#10;AADcAAAADwAAAGRycy9kb3ducmV2LnhtbESP0WrCQBRE3wv+w3IF3+rGiFWiq0hBkBYEox9wzV6T&#10;YPZu3N3G9O+7gtDHYWbOMKtNbxrRkfO1ZQWTcQKCuLC65lLB+bR7X4DwAVljY5kU/JKHzXrwtsJM&#10;2wcfqctDKSKEfYYKqhDaTEpfVGTQj21LHL2rdQZDlK6U2uEjwk0j0yT5kAZrjgsVtvRZUXHLf4yC&#10;XXefHy+TxfSQfodbMc89uS+v1GjYb5cgAvXhP/xq77WCdDqD55l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Xe8MAAADcAAAADwAAAAAAAAAAAAAAAACYAgAAZHJzL2Rv&#10;d25yZXYueG1sUEsFBgAAAAAEAAQA9QAAAIgDAAAAAA==&#10;" fillcolor="#d1deee" stroked="f">
                    <v:textbox>
                      <w:txbxContent>
                        <w:p w:rsidR="00832320" w:rsidRPr="00B5188F" w:rsidRDefault="00832320" w:rsidP="00EE1F82">
                          <w:pPr>
                            <w:pStyle w:val="NormalnyWeb"/>
                            <w:spacing w:before="0" w:beforeAutospacing="0" w:after="200" w:afterAutospacing="0" w:line="276" w:lineRule="auto"/>
                            <w:rPr>
                              <w:rFonts w:ascii="Calibri" w:hAnsi="Calibri"/>
                              <w:sz w:val="14"/>
                              <w:szCs w:val="14"/>
                            </w:rPr>
                          </w:pPr>
                          <w:r>
                            <w:rPr>
                              <w:rFonts w:ascii="Calibri" w:hAnsi="Calibri"/>
                              <w:sz w:val="14"/>
                              <w:szCs w:val="14"/>
                            </w:rPr>
                            <w:t xml:space="preserve">- </w:t>
                          </w:r>
                          <w:r w:rsidRPr="00B5188F">
                            <w:rPr>
                              <w:rFonts w:ascii="Calibri" w:hAnsi="Calibri"/>
                              <w:sz w:val="14"/>
                              <w:szCs w:val="14"/>
                            </w:rPr>
                            <w:t>działania realizowane w celu wzmocnienia instytucji otoczenia biznesu i rozwoju inicjatyw klastrowych</w:t>
                          </w:r>
                        </w:p>
                      </w:txbxContent>
                    </v:textbox>
                  </v:rect>
                  <v:shape id="Łącznik prosty ze strzałką 283" o:spid="_x0000_s1056" type="#_x0000_t32" style="position:absolute;left:84006;top:20411;width:0;height:250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Q9lsQAAADcAAAADwAAAGRycy9kb3ducmV2LnhtbESPQWvCQBSE7wX/w/KE3uqmCY0SXUWF&#10;FvFSEvX+zD6T0OzbkF01/fddoeBxmJlvmMVqMK24Ue8aywreJxEI4tLqhisFx8Pn2wyE88gaW8uk&#10;4JccrJajlwVm2t45p1vhKxEg7DJUUHvfZVK6siaDbmI74uBdbG/QB9lXUvd4D3DTyjiKUmmw4bBQ&#10;Y0fbmsqf4moUJNOz21xOH/G12iffuy+7KfI0V+p1PKznIDwN/hn+b++0gjhJ4XEmHAG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ND2WxAAAANwAAAAPAAAAAAAAAAAA&#10;AAAAAKECAABkcnMvZG93bnJldi54bWxQSwUGAAAAAAQABAD5AAAAkgMAAAAA&#10;" strokecolor="#335a8a">
                    <v:stroke endarrow="open"/>
                  </v:shape>
                  <w10:wrap type="none"/>
                  <w10:anchorlock/>
                </v:group>
              </w:pict>
            </w:r>
          </w:p>
        </w:tc>
      </w:tr>
    </w:tbl>
    <w:p w:rsidR="00424449" w:rsidRPr="00424449" w:rsidRDefault="00EE1F82" w:rsidP="00DF3890">
      <w:pPr>
        <w:jc w:val="center"/>
      </w:pPr>
      <w:r w:rsidRPr="00424449">
        <w:rPr>
          <w:i/>
        </w:rPr>
        <w:t>Źródło: Opracowanie własne.</w:t>
      </w:r>
    </w:p>
    <w:p w:rsidR="00424449" w:rsidRDefault="00424449" w:rsidP="00424449">
      <w:pPr>
        <w:spacing w:after="0"/>
        <w:jc w:val="left"/>
        <w:sectPr w:rsidR="00424449" w:rsidSect="00607AE2">
          <w:pgSz w:w="16838" w:h="11906" w:orient="landscape"/>
          <w:pgMar w:top="1985" w:right="1418" w:bottom="1418" w:left="1418" w:header="709" w:footer="709" w:gutter="0"/>
          <w:cols w:space="708"/>
        </w:sectPr>
      </w:pPr>
    </w:p>
    <w:p w:rsidR="00424449" w:rsidRPr="00692183" w:rsidRDefault="00424449" w:rsidP="00FD5E31">
      <w:pPr>
        <w:rPr>
          <w:rFonts w:asciiTheme="majorHAnsi" w:eastAsiaTheme="majorEastAsia" w:hAnsiTheme="majorHAnsi" w:cstheme="majorBidi"/>
          <w:b/>
          <w:bCs/>
          <w:i/>
          <w:iCs/>
          <w:color w:val="366092" w:themeColor="accent1"/>
        </w:rPr>
      </w:pPr>
      <w:r>
        <w:rPr>
          <w:rFonts w:asciiTheme="majorHAnsi" w:eastAsiaTheme="majorEastAsia" w:hAnsiTheme="majorHAnsi" w:cstheme="majorBidi"/>
          <w:b/>
          <w:bCs/>
          <w:i/>
          <w:iCs/>
          <w:color w:val="366092" w:themeColor="accent1"/>
        </w:rPr>
        <w:lastRenderedPageBreak/>
        <w:t xml:space="preserve">PI </w:t>
      </w:r>
      <w:r w:rsidRPr="00692183">
        <w:rPr>
          <w:rFonts w:asciiTheme="majorHAnsi" w:eastAsiaTheme="majorEastAsia" w:hAnsiTheme="majorHAnsi" w:cstheme="majorBidi"/>
          <w:b/>
          <w:bCs/>
          <w:i/>
          <w:iCs/>
          <w:color w:val="366092" w:themeColor="accent1"/>
        </w:rPr>
        <w:t xml:space="preserve">1.2 Promowanie inwestycji przedsiębiorstw w badania i innowacje, rozwijanie powiązań i synergii między przedsiębiorstwami, ośrodkami badawczo-rozwojowymi  i sektorem szkolnictwa wyższego, w szczególności promowanie inwestycji w zakresie rozwoju produktów i usług, transferu technologii, innowacji społecznych, </w:t>
      </w:r>
      <w:proofErr w:type="spellStart"/>
      <w:r w:rsidRPr="00692183">
        <w:rPr>
          <w:rFonts w:asciiTheme="majorHAnsi" w:eastAsiaTheme="majorEastAsia" w:hAnsiTheme="majorHAnsi" w:cstheme="majorBidi"/>
          <w:b/>
          <w:bCs/>
          <w:i/>
          <w:iCs/>
          <w:color w:val="366092" w:themeColor="accent1"/>
        </w:rPr>
        <w:t>ekoinnowacji</w:t>
      </w:r>
      <w:proofErr w:type="spellEnd"/>
      <w:r w:rsidRPr="00692183">
        <w:rPr>
          <w:rFonts w:asciiTheme="majorHAnsi" w:eastAsiaTheme="majorEastAsia" w:hAnsiTheme="majorHAnsi" w:cstheme="majorBidi"/>
          <w:b/>
          <w:bCs/>
          <w:i/>
          <w:iCs/>
          <w:color w:val="366092" w:themeColor="accent1"/>
        </w:rPr>
        <w:t>, zastosowań w dziedzinie usług publicznych, tworzenia sieci, pobudzania popytu, klastrów i otwartych innowacji poprzez inteligentną specjalizację oraz wspieranie badań technologicznych i stosowanych, linii pilotażowych, działań w zakresie wczesnej walidacji produktów i zaawansowanych zdolności produkcyjnych i pierwszej produkcji, w szczególności w dziedzinie kluczowych technologii wspomagających, oraz rozpowszechnianie technologii o ogólnym przeznaczeniu</w:t>
      </w:r>
    </w:p>
    <w:p w:rsidR="00424449" w:rsidRDefault="00424449" w:rsidP="00424449">
      <w:r>
        <w:t xml:space="preserve">Cel szczegółowy </w:t>
      </w:r>
      <w:r w:rsidRPr="00FB2632">
        <w:rPr>
          <w:i/>
        </w:rPr>
        <w:t xml:space="preserve">wzrost działalności badawczo-rozwojowej i innowacyjnej w województwie podkarpackim </w:t>
      </w:r>
      <w:r>
        <w:t xml:space="preserve">konsumuje uwagi zgłoszone w toku ewaluacji w trybie partycypacyjnym i został sformułowany prawidłowo. </w:t>
      </w:r>
    </w:p>
    <w:p w:rsidR="00424449" w:rsidRDefault="00424449" w:rsidP="00424449">
      <w:r>
        <w:t xml:space="preserve">Zakres interwencji odpowiada celowi szczegółowemu. W szczególności należy zauważyć, że w ostatnich latach w województwie podkarpackim ma miejsce znaczny (pod względem dynamiki i udziału wzrostu w regionalnym PKB – najwyższy w kraju) wzrost nakładów przedsiębiorstw na działalność </w:t>
      </w:r>
      <w:proofErr w:type="spellStart"/>
      <w:r>
        <w:t>B+R</w:t>
      </w:r>
      <w:proofErr w:type="spellEnd"/>
      <w:r>
        <w:t>. Jak zauważono powyżej, wzrostowi temu nie towarzyszy podobna aktywność w sektorze publicznym. Ze względu na specyfikę procesów badawczych wsparcie publiczne jest ważnym elementem ich stymulacji – w związku z tym dobre wyniki przedsiębiorstw w tym zakresie wskazują na istnienie potencjału, w który warto inwestować, także ze środków publicznych.</w:t>
      </w:r>
      <w:r>
        <w:rPr>
          <w:rStyle w:val="Odwoanieprzypisudolnego"/>
        </w:rPr>
        <w:footnoteReference w:id="4"/>
      </w:r>
    </w:p>
    <w:p w:rsidR="00424449" w:rsidRDefault="00424449" w:rsidP="00424449">
      <w:r>
        <w:t xml:space="preserve">Zakres interwencji jest opisany szeroko, również szeroki jest katalog potencjalnych grup beneficjentów. Przewidziany zakres interwencji wpisuje się w standardowe działania wspierania </w:t>
      </w:r>
      <w:proofErr w:type="spellStart"/>
      <w:r>
        <w:t>B+R</w:t>
      </w:r>
      <w:proofErr w:type="spellEnd"/>
      <w:r>
        <w:t xml:space="preserve"> i innowacyjności przedsiębiorstw, jest logiczny i zasadny. Istotnym zabiegiem jest połączenie w</w:t>
      </w:r>
      <w:r w:rsidR="006E50D0">
        <w:t> </w:t>
      </w:r>
      <w:r>
        <w:t xml:space="preserve"> ramach jednego priorytetu inwestycyjnego (a więc i w ramach jednej alokacji) wsparcia kierowanego do podmiotów rynkowych, jaki i jednostek naukowych oraz szkół wyższych. W</w:t>
      </w:r>
      <w:r w:rsidR="006E50D0">
        <w:t> </w:t>
      </w:r>
      <w:r>
        <w:t xml:space="preserve"> odniesieniu do infrastruktury </w:t>
      </w:r>
      <w:proofErr w:type="spellStart"/>
      <w:r>
        <w:t>B+R</w:t>
      </w:r>
      <w:proofErr w:type="spellEnd"/>
      <w:r>
        <w:t xml:space="preserve"> jednostek naukowych, planowane inwestycje mają na celu „ukierunkowanie ich potencjału na zastosowania gospodarcze”, co prawdopodobnie będzie oznaczać ich komercyjne wykorzystanie i może ograniczać atrakcyjność wsparcia (ze względu na </w:t>
      </w:r>
      <w:r w:rsidRPr="004811B6">
        <w:t>regulacje z</w:t>
      </w:r>
      <w:r w:rsidR="006E50D0">
        <w:t> </w:t>
      </w:r>
      <w:r w:rsidRPr="004811B6">
        <w:t xml:space="preserve"> zakresu pomocy publicznej i wynikające z nich ograniczenie intensywności wsparcia) </w:t>
      </w:r>
      <w:r>
        <w:t>dla beneficjentów z sektora publicznego. W połączeniu z brakiem jednoznacznej diagnozy i</w:t>
      </w:r>
      <w:r w:rsidR="006E50D0">
        <w:t> </w:t>
      </w:r>
      <w:r>
        <w:t xml:space="preserve"> ukierunkowania potrzeb jednostek naukowych i szkolnictwa wyższego wskazuje to na słuszność podjętej decyzji o połączeniu interwencji skierowanej do tych podmiotów ze wsparciem skierowanym do przedsiębiorstw. </w:t>
      </w:r>
    </w:p>
    <w:p w:rsidR="00424449" w:rsidRDefault="00424449" w:rsidP="00424449">
      <w:r>
        <w:t>Opisane powyżej podejście jest słuszne, chociaż nie jest do końca jasna rola wsparcia dla szkół wyższych oraz zakresu stosowania trybu pozakonkursowego. Ograniczenia w zakresie inwestycji (ukierunkowanie na zastosowania gospodarcze) oraz finansowanie w trybie pozakonkursowym, z uwzględnieniem negocjacji kontraktu terytorialnego przewidziano wyłącznie dla jednostek naukowych – co oznaczałoby, że szkoły wyższe z jednej strony mogą ubiegać się o wsparcie jedynie w</w:t>
      </w:r>
      <w:r w:rsidR="006E50D0">
        <w:t> </w:t>
      </w:r>
      <w:r>
        <w:t xml:space="preserve"> </w:t>
      </w:r>
      <w:r>
        <w:lastRenderedPageBreak/>
        <w:t xml:space="preserve">trybie konkursowym, ale również że nie dotyczy ich ograniczenie ukierunkowania na zastosowania gospodarcze. </w:t>
      </w:r>
    </w:p>
    <w:p w:rsidR="00424449" w:rsidRDefault="00424449" w:rsidP="00424449">
      <w:r>
        <w:t xml:space="preserve">W przykładowych typach projektów wskazane są „projekty związane z wdrażaniem prac </w:t>
      </w:r>
      <w:proofErr w:type="spellStart"/>
      <w:r>
        <w:t>B+R</w:t>
      </w:r>
      <w:proofErr w:type="spellEnd"/>
      <w:r>
        <w:t xml:space="preserve"> w</w:t>
      </w:r>
      <w:r w:rsidR="006E50D0">
        <w:t> </w:t>
      </w:r>
      <w:r>
        <w:t xml:space="preserve"> działalności przedsiębiorstw” – nie jest jasne, czy chodzi tu o wdrażanie wyników, czy faktyczne samo wdrażanie prac (co pokrywa się z wcześniejszym typem projektów). Ewentualne finansowanie wdrożeń wymaga rozstrzygnięć co do demarkacji z interwencją w ramach PI 3.3, co jednak jest zagadnieniem wdrożeniowym, do rozstrzygnięcia na późniejszym etapie wdrażania programu.</w:t>
      </w:r>
    </w:p>
    <w:p w:rsidR="00424449" w:rsidRDefault="00424449" w:rsidP="00424449">
      <w:r>
        <w:t xml:space="preserve">W odniesieniu do preferencji przewidzianych w ramach trybu konkursowego, za słuszne należy uznać wskazanie inteligentnych specjalizacji oraz dla przedsięwzięć zakładających współpracę przedsiębiorstw i nauki lub realizowanych w ramach klastrów. Wątpliwe są natomiast preferencje dla </w:t>
      </w:r>
      <w:proofErr w:type="spellStart"/>
      <w:r>
        <w:t>ekoinnowacji</w:t>
      </w:r>
      <w:proofErr w:type="spellEnd"/>
      <w:r>
        <w:t xml:space="preserve"> i efektywnego gospodarowania zasobami: region raczej nie posiada unikalnych kompetencji w zakresie badań z tych obszarów, a inwestycje przedsiębiorstw obejmujących </w:t>
      </w:r>
      <w:proofErr w:type="spellStart"/>
      <w:r>
        <w:t>ekoinnowacje</w:t>
      </w:r>
      <w:proofErr w:type="spellEnd"/>
      <w:r>
        <w:t xml:space="preserve"> i efektywne gospodarowanie zasobami mogą być realizowane (i preferowane) w PI 3.3. Użyte sformułowanie jest też na tyle niefortunne, że można je odczytywać jako preferencje dla projektów zakładających zdobycie przewag konkurencyjnych – a poprawa konkurencyjności powinna być celem bezpośrednim lub pośrednim każdego projektu finansowanego w ramach osi priorytetowej.</w:t>
      </w:r>
    </w:p>
    <w:p w:rsidR="00424449" w:rsidRDefault="00424449" w:rsidP="00424449">
      <w:r>
        <w:t xml:space="preserve">Ponadto, organizacja programów grantowych na projekty </w:t>
      </w:r>
      <w:proofErr w:type="spellStart"/>
      <w:r>
        <w:t>B+R</w:t>
      </w:r>
      <w:proofErr w:type="spellEnd"/>
      <w:r>
        <w:t xml:space="preserve"> stanowi poważne wyzwanie wdrożeniowe, co ogranicza użyteczność tego rodzaju działań z poziomu regionalnego. Zastrzeżenie to ma charakter techniczny, a nie merytoryczny, a jego uwzględnienie może zostać odłożone do momentu rozstrzygnięć dokonywanych w uszczegółowieniu programu – niemniej również w kontekście problemów we wdrażaniu projektów wspierających innowacyjność w województwie podkarpackim w obecnej perspektywie problem wydaje się istotny. </w:t>
      </w:r>
    </w:p>
    <w:p w:rsidR="00424449" w:rsidRPr="00511FDB" w:rsidRDefault="00424449" w:rsidP="00FD5E31">
      <w:pPr>
        <w:rPr>
          <w:rFonts w:asciiTheme="majorHAnsi" w:eastAsiaTheme="majorEastAsia" w:hAnsiTheme="majorHAnsi" w:cstheme="majorBidi"/>
          <w:b/>
          <w:bCs/>
          <w:i/>
          <w:iCs/>
          <w:color w:val="366092" w:themeColor="accent1"/>
        </w:rPr>
      </w:pPr>
      <w:r>
        <w:rPr>
          <w:rFonts w:asciiTheme="majorHAnsi" w:eastAsiaTheme="majorEastAsia" w:hAnsiTheme="majorHAnsi" w:cstheme="majorBidi"/>
          <w:b/>
          <w:bCs/>
          <w:i/>
          <w:iCs/>
          <w:color w:val="366092" w:themeColor="accent1"/>
        </w:rPr>
        <w:t xml:space="preserve">PI </w:t>
      </w:r>
      <w:r w:rsidRPr="00511FDB">
        <w:rPr>
          <w:rFonts w:asciiTheme="majorHAnsi" w:eastAsiaTheme="majorEastAsia" w:hAnsiTheme="majorHAnsi" w:cstheme="majorBidi"/>
          <w:b/>
          <w:bCs/>
          <w:i/>
          <w:iCs/>
          <w:color w:val="366092" w:themeColor="accent1"/>
        </w:rPr>
        <w:t>3.1 Promowanie przedsiębiorczości, w szczególności poprzez ułatwianie gospodarczego wykorzystywania nowych pomysłów oraz sprzyjanie tworzeniu nowych firm,  w tym również poprzez inkubatory przedsiębiorczości</w:t>
      </w:r>
    </w:p>
    <w:p w:rsidR="00424449" w:rsidRDefault="00424449" w:rsidP="00424449">
      <w:r>
        <w:t xml:space="preserve">Cel szczegółowy PI 3.1 sformułowany został jako </w:t>
      </w:r>
      <w:r w:rsidRPr="00CF5B20">
        <w:rPr>
          <w:i/>
        </w:rPr>
        <w:t>poprawa warunków do rozwoju przedsiębiorczości w</w:t>
      </w:r>
      <w:r w:rsidR="006E50D0">
        <w:rPr>
          <w:i/>
        </w:rPr>
        <w:t> </w:t>
      </w:r>
      <w:r w:rsidRPr="00CF5B20">
        <w:rPr>
          <w:i/>
        </w:rPr>
        <w:t>województwie podkarpackim</w:t>
      </w:r>
      <w:r>
        <w:t xml:space="preserve">. Odzwierciedla on sens planowanych działań, wpisuje się cel ogólny OP oraz jest spójny z diagnozą, należy więc uznać taki cel szczegółowy za prawidłowy. </w:t>
      </w:r>
    </w:p>
    <w:p w:rsidR="00424449" w:rsidRDefault="00424449" w:rsidP="00424449">
      <w:r>
        <w:t>W zakresie wsparcia nowopowstałych przedsiębiorstw należy zwrócić uwagę na to, że wsparcie za pośrednictwem inkubatorów przedsiębiorczości czy ośrodków wspierających przedsiębiorczość akademicką bez wsparcia finansowego (w formie bezzwrotnej bądź zwrotnej) będzie ograniczać ich możliwości działania – w związku z tym wskazane jest planowanie interwencji (na poziomie uszczegółowienia programu) w połączeniu z instrumentami planowanymi w ramach PI 3.3, względnie w ramach PI 8.7. W działalności inkubatorów – podobnie jak w działalności wszystkich IOB – należy też zwrócić uwagę na silną orientację na faktyczne świadczenie usług i wspieranie powstawania i</w:t>
      </w:r>
      <w:r w:rsidR="006E50D0">
        <w:t> </w:t>
      </w:r>
      <w:r>
        <w:t xml:space="preserve"> rozwoju przedsiębiorstw – część dotychczasowych doświadczeń wskazuje na to, że działalność tego </w:t>
      </w:r>
      <w:r>
        <w:lastRenderedPageBreak/>
        <w:t>typu instytucji miewa fasadowy charakter, przy nikłym przełożeniu na faktyczne rezultaty w zakresie stymulowania przedsiębiorczości.</w:t>
      </w:r>
      <w:r>
        <w:rPr>
          <w:rStyle w:val="Odwoanieprzypisudolnego"/>
        </w:rPr>
        <w:footnoteReference w:id="5"/>
      </w:r>
    </w:p>
    <w:p w:rsidR="00424449" w:rsidRDefault="00424449" w:rsidP="00424449">
      <w:r>
        <w:t xml:space="preserve">Ponieważ w ramach wsparcia nowych przedsiębiorstw nacisk został położony na usługi inkubatorów (w tym akademickich), pewnej refleksji na poziomie wdrożeniowym wymaga interakcja między PI 3.1 a 8.7. w zakresie usług doradczych kierowanych do osób rozpoczynających działalność gospodarczą. W związku z brakiem instrumentów wsparcia finansowego w 3.1 oraz kształtem linii demarkacyjnej dążenie do pełnego rozgraniczenia prowadzonych działań nie wydaje się konieczne i celowe, a wsparcie w ramach 3.1 powinno dotyczyć także osób rozpoczynających działalność gospodarczą. </w:t>
      </w:r>
    </w:p>
    <w:p w:rsidR="00424449" w:rsidRDefault="00424449" w:rsidP="00424449">
      <w:r>
        <w:t>Działania w zakresie uporządkowania i przygotowania terenów inwestycyjnych w celu nadania im nowych funkcji gospodarczych, uzbrojenia terenów inwestycyjnych w media, budowy lub modernizację układu komunikacyjnego terenu inwestycyjnego ostatecznie będzie realizowany w</w:t>
      </w:r>
      <w:r w:rsidR="006E50D0">
        <w:t> </w:t>
      </w:r>
      <w:r>
        <w:t xml:space="preserve"> ramach PI 3.1. Wydaje się, że bardziej logicznym jego umiejscowieniem byłoby wpisanie w</w:t>
      </w:r>
      <w:r w:rsidR="006E50D0">
        <w:t> </w:t>
      </w:r>
      <w:r>
        <w:t xml:space="preserve"> interwencję ukierunkowaną na przyciąganie do regionu zewnętrznych inwestorów (PI 3.2), a</w:t>
      </w:r>
      <w:r w:rsidR="006E50D0">
        <w:t> </w:t>
      </w:r>
      <w:r>
        <w:t xml:space="preserve"> uzbrajanie działek nie pasuje do PI 3.1, których brak nie jest najważniejszym problem nowopowstających przedsiębiorstw. Jednocześnie oczywiste jest, że taki kształt PI 3.1 wynika z linii demarkacyjnej. </w:t>
      </w:r>
    </w:p>
    <w:p w:rsidR="00424449" w:rsidRPr="00630B87" w:rsidRDefault="00424449" w:rsidP="00424449">
      <w:pPr>
        <w:rPr>
          <w:rFonts w:asciiTheme="majorHAnsi" w:eastAsiaTheme="majorEastAsia" w:hAnsiTheme="majorHAnsi" w:cstheme="majorBidi"/>
          <w:b/>
          <w:bCs/>
          <w:i/>
          <w:iCs/>
          <w:color w:val="366092" w:themeColor="accent1"/>
        </w:rPr>
      </w:pPr>
      <w:r w:rsidRPr="00630B87">
        <w:rPr>
          <w:rFonts w:asciiTheme="majorHAnsi" w:eastAsiaTheme="majorEastAsia" w:hAnsiTheme="majorHAnsi" w:cstheme="majorBidi"/>
          <w:b/>
          <w:bCs/>
          <w:i/>
          <w:iCs/>
          <w:color w:val="366092" w:themeColor="accent1"/>
        </w:rPr>
        <w:t xml:space="preserve">PI 3.2 </w:t>
      </w:r>
      <w:r w:rsidR="007C5AF2">
        <w:rPr>
          <w:rFonts w:asciiTheme="majorHAnsi" w:eastAsiaTheme="majorEastAsia" w:hAnsiTheme="majorHAnsi" w:cstheme="majorBidi"/>
          <w:b/>
          <w:bCs/>
          <w:i/>
          <w:iCs/>
          <w:color w:val="366092" w:themeColor="accent1"/>
        </w:rPr>
        <w:t>O</w:t>
      </w:r>
      <w:r w:rsidR="007C5AF2" w:rsidRPr="00630B87">
        <w:rPr>
          <w:rFonts w:asciiTheme="majorHAnsi" w:eastAsiaTheme="majorEastAsia" w:hAnsiTheme="majorHAnsi" w:cstheme="majorBidi"/>
          <w:b/>
          <w:bCs/>
          <w:i/>
          <w:iCs/>
          <w:color w:val="366092" w:themeColor="accent1"/>
        </w:rPr>
        <w:t xml:space="preserve">pracowywanie </w:t>
      </w:r>
      <w:r w:rsidRPr="00630B87">
        <w:rPr>
          <w:rFonts w:asciiTheme="majorHAnsi" w:eastAsiaTheme="majorEastAsia" w:hAnsiTheme="majorHAnsi" w:cstheme="majorBidi"/>
          <w:b/>
          <w:bCs/>
          <w:i/>
          <w:iCs/>
          <w:color w:val="366092" w:themeColor="accent1"/>
        </w:rPr>
        <w:t>i wdrażanie nowych modeli biznesowych dla MŚP, w szczególności w celu umiędzynarodowienia</w:t>
      </w:r>
    </w:p>
    <w:p w:rsidR="00424449" w:rsidRDefault="00424449" w:rsidP="00424449">
      <w:r>
        <w:t xml:space="preserve">W toku ewaluacji </w:t>
      </w:r>
      <w:proofErr w:type="spellStart"/>
      <w:r>
        <w:t>ex-ante</w:t>
      </w:r>
      <w:proofErr w:type="spellEnd"/>
      <w:r>
        <w:t xml:space="preserve"> cel szczegółowy został zdefiniowany jako </w:t>
      </w:r>
      <w:r>
        <w:rPr>
          <w:i/>
        </w:rPr>
        <w:t xml:space="preserve">wzrost atrakcyjności inwestycyjnej regionu oraz poprawa konkurencyjności przedsiębiorstw na rynkach </w:t>
      </w:r>
      <w:r w:rsidR="00FD5E31">
        <w:rPr>
          <w:i/>
        </w:rPr>
        <w:t>zagranicznych</w:t>
      </w:r>
      <w:r>
        <w:t>. Takiemu zdefiniowaniu celu odpowiada też przyjęty układ zadań.</w:t>
      </w:r>
    </w:p>
    <w:p w:rsidR="00424449" w:rsidRDefault="00424449" w:rsidP="00424449">
      <w:r>
        <w:t>W pierwszej kolejności obejmuje on promocję gospodarczą regionu, ze szczególnym uwzględnieniem inteligentnych specjalizacji (w ramach preferencji dla projektów konkursowych). Przewidziano także realizację kompleksowego projektu systemowego przez Samorząd Województwa we współpracy z</w:t>
      </w:r>
      <w:r w:rsidR="006E50D0">
        <w:t> </w:t>
      </w:r>
      <w:r>
        <w:t xml:space="preserve"> najważniejszymi JST regionu oraz wykorzystujący rozwiązania wypracowane w obecnej perspektywie finansowej. Elementem promocji gospodarczej regionu będzie także promocja turystyczna (tego elementu wizerunku regionu nie należy kreować w oderwaniu od stymulowania atrakcyjności inwestycyjnej). Oparcie promocji gospodarczej w części na projektach systemowych może być narzędziem koordynacji ich realizacji, jednocześnie co najmniej na poziomie uszczegółowienia należy rozważyć mechanizm koordynacji dla projektów JST zgłaszanych w trybie konkursowym. W tym zakresie warto też zauważyć (za ewaluacją działań promocyjnych w ramach PO PW</w:t>
      </w:r>
      <w:r>
        <w:rPr>
          <w:rStyle w:val="Odwoanieprzypisudolnego"/>
        </w:rPr>
        <w:footnoteReference w:id="6"/>
      </w:r>
      <w:r>
        <w:t xml:space="preserve">), że region jest nadal postrzegany jako słabo wyposażony w infrastrukturę podstawową – elementem koordynacji działań promocyjnych może więc być także wskazywanie na pozytywne zmiany zachodzące w województwie w tym zakresie. </w:t>
      </w:r>
    </w:p>
    <w:p w:rsidR="00424449" w:rsidRDefault="00424449" w:rsidP="00424449">
      <w:r>
        <w:t xml:space="preserve">W ramach interwencji wspierane będą także projekty przedsiębiorstw (wraz z IOB i zarządcami klastrów). Nie jest jednak jasne, jak szeroki będzie zakres interwencji w ich przypadku oraz na ile </w:t>
      </w:r>
      <w:r>
        <w:lastRenderedPageBreak/>
        <w:t>będzie ona przyjmować wymiar doradczy, pośredni (poprzez pozytywne efekty ogólnych projektów promocyjnych JST) czy bezpośredniego wsparcia finansowego. Polscy eksporterzy oczekują wsparcia w prowadzonej działalności, jednocześnie często wskazując na potrzebę „namacalnego”, finansowego wsparcia, a nie świadczenia usług doradczych. Interwencja taka nie jest planowana w Programie, jednocześnie wydaje się, że bariery kompetencyjno-informacyjne dla przedsiębiorstw są wysokie, a niechęć do usług doradczych wynika bardziej ze specyficznej kultury przedsiębiorczości, niż braku potrzeb w tym zakresie,</w:t>
      </w:r>
      <w:r>
        <w:rPr>
          <w:rStyle w:val="Odwoanieprzypisudolnego"/>
        </w:rPr>
        <w:footnoteReference w:id="7"/>
      </w:r>
      <w:r>
        <w:t xml:space="preserve"> co daje nadzieję na skuteczność planowanych działań doradczych.  </w:t>
      </w:r>
    </w:p>
    <w:p w:rsidR="00424449" w:rsidRPr="00B24E31" w:rsidRDefault="00424449" w:rsidP="00B24E31">
      <w:pPr>
        <w:pStyle w:val="Nagwek4"/>
      </w:pPr>
      <w:r w:rsidRPr="00B24E31">
        <w:t xml:space="preserve">PI 3.3 </w:t>
      </w:r>
      <w:r w:rsidR="007C5AF2">
        <w:t>W</w:t>
      </w:r>
      <w:r w:rsidR="007C5AF2" w:rsidRPr="00B24E31">
        <w:t xml:space="preserve">spieranie </w:t>
      </w:r>
      <w:r w:rsidRPr="00B24E31">
        <w:t>tworzenia i poszerzania zaawansowanych zdolności w zakresie rozwoju produktów i</w:t>
      </w:r>
      <w:r w:rsidR="006E50D0">
        <w:t> </w:t>
      </w:r>
      <w:r w:rsidRPr="00B24E31">
        <w:t xml:space="preserve"> usług</w:t>
      </w:r>
    </w:p>
    <w:p w:rsidR="00424449" w:rsidRDefault="00424449" w:rsidP="00424449">
      <w:r>
        <w:t xml:space="preserve">Cel szczegółowy został sformułowany prawidłowo jako </w:t>
      </w:r>
      <w:r>
        <w:rPr>
          <w:rFonts w:ascii="Arial" w:hAnsi="Arial" w:cs="Arial"/>
          <w:sz w:val="16"/>
          <w:szCs w:val="16"/>
        </w:rPr>
        <w:t>t</w:t>
      </w:r>
      <w:r w:rsidRPr="00020456">
        <w:rPr>
          <w:rFonts w:ascii="Arial" w:hAnsi="Arial" w:cs="Arial"/>
          <w:sz w:val="16"/>
          <w:szCs w:val="16"/>
        </w:rPr>
        <w:t xml:space="preserve">rwałe przyspieszenie rozwoju </w:t>
      </w:r>
      <w:r>
        <w:rPr>
          <w:rFonts w:ascii="Arial" w:hAnsi="Arial" w:cs="Arial"/>
          <w:sz w:val="16"/>
          <w:szCs w:val="16"/>
        </w:rPr>
        <w:t>podkarpackich</w:t>
      </w:r>
      <w:r w:rsidRPr="00020456">
        <w:rPr>
          <w:rFonts w:ascii="Arial" w:hAnsi="Arial" w:cs="Arial"/>
          <w:sz w:val="16"/>
          <w:szCs w:val="16"/>
        </w:rPr>
        <w:t xml:space="preserve"> przedsiębiorstw</w:t>
      </w:r>
      <w:r>
        <w:t xml:space="preserve">. Również zakres interwencji nie budzi zasadniczych wątpliwości. </w:t>
      </w:r>
    </w:p>
    <w:p w:rsidR="00424449" w:rsidRDefault="00424449" w:rsidP="00424449">
      <w:r>
        <w:t>Schematy dotacyjne realizowane w województwie podkarpackim w latach 2007-2013 miały realny wpływ na sytuację gospodarczą beneficjentów.</w:t>
      </w:r>
      <w:r>
        <w:rPr>
          <w:rStyle w:val="Odwoanieprzypisudolnego"/>
        </w:rPr>
        <w:footnoteReference w:id="8"/>
      </w:r>
      <w:r>
        <w:t xml:space="preserve"> Jednocześnie, opierając się na doświadczeniach obecnej perspektywy, w </w:t>
      </w:r>
      <w:proofErr w:type="spellStart"/>
      <w:r>
        <w:t>operacjonalizacji</w:t>
      </w:r>
      <w:proofErr w:type="spellEnd"/>
      <w:r>
        <w:t xml:space="preserve"> interwencji warto rozważyć wprowadzenie następujących rozwiązań „uszczelniających” jej zakres:</w:t>
      </w:r>
    </w:p>
    <w:p w:rsidR="00424449" w:rsidRDefault="00424449" w:rsidP="000965A8">
      <w:pPr>
        <w:pStyle w:val="Akapitzlist"/>
        <w:numPr>
          <w:ilvl w:val="0"/>
          <w:numId w:val="14"/>
        </w:numPr>
      </w:pPr>
      <w:r>
        <w:t xml:space="preserve">W ramach tego samego instrumentu nie należy jednocześnie wspierać szeroko pojętej </w:t>
      </w:r>
      <w:proofErr w:type="spellStart"/>
      <w:r>
        <w:t>absorbcji</w:t>
      </w:r>
      <w:proofErr w:type="spellEnd"/>
      <w:r>
        <w:t xml:space="preserve"> innowacji (duże projekty biznesowe) oraz przedsięwzięć mających na celu aktywizację najsłabszych gospodarczo części regionu. Wskazane jest stworzenie oddzielnych instrumentów dla obydwu typów przedsięwzięć. </w:t>
      </w:r>
    </w:p>
    <w:p w:rsidR="00424449" w:rsidRDefault="00424449" w:rsidP="000965A8">
      <w:pPr>
        <w:pStyle w:val="Akapitzlist"/>
        <w:numPr>
          <w:ilvl w:val="0"/>
          <w:numId w:val="14"/>
        </w:numPr>
      </w:pPr>
      <w:r>
        <w:t>Nie można doprowadzić do tego, żeby dotacja i instrumenty finansowe ze sobą „konkurowały” – dla danego typu inwestycji powinna być tylko jedna forma finansowania.</w:t>
      </w:r>
      <w:r>
        <w:rPr>
          <w:rStyle w:val="Odwoanieprzypisudolnego"/>
        </w:rPr>
        <w:footnoteReference w:id="9"/>
      </w:r>
    </w:p>
    <w:p w:rsidR="00424449" w:rsidRDefault="00424449" w:rsidP="000965A8">
      <w:pPr>
        <w:pStyle w:val="Akapitzlist"/>
        <w:numPr>
          <w:ilvl w:val="0"/>
          <w:numId w:val="14"/>
        </w:numPr>
      </w:pPr>
      <w:r>
        <w:t xml:space="preserve">Inteligentne specjalizacje mogą być kryterium preferencji, ale (szczególnie w przypadku projektów realizowanych na terenach o najniższym poziomie rozwoju gospodarczego) nie powinny one być czynnikiem decydującym.  </w:t>
      </w:r>
    </w:p>
    <w:p w:rsidR="00424449" w:rsidRDefault="00424449" w:rsidP="00424449">
      <w:r>
        <w:t xml:space="preserve">Obecne rozstrzygnięcia RPO nie przesądzają ww. kwestii, pozwalając na odpowiednie ukształtowanie interwencji na poziomie wdrożeniowym. Pewne wątpliwości budzi lista przykładowych typów projektów – planowane jest wspieranie nowych przedsiębiorstw wyłącznie w zakresie rozwoju produktów i usług opartych na TIK. W sytuacji braku wsparcia finansowego w PI 3.1 takie zawężenie wydaje się zbyt daleko idące. </w:t>
      </w:r>
    </w:p>
    <w:p w:rsidR="00424449" w:rsidRDefault="00424449" w:rsidP="00424449">
      <w:r>
        <w:t>Warto też zwrócić uwagę na brak kryterium preferencji w PI 3.3. W układzie branżowo-sektorowym wprost wskazuje się w opisie przedsięwzięć wsparcie „dziedzin, w których duży potencjał nie jest w</w:t>
      </w:r>
      <w:r w:rsidR="006E50D0">
        <w:t> </w:t>
      </w:r>
      <w:r>
        <w:t xml:space="preserve"> </w:t>
      </w:r>
      <w:r>
        <w:lastRenderedPageBreak/>
        <w:t xml:space="preserve">pełni wykorzystywany – jak produkcja żywności i turystyka”, przy czym nie przewidziano preferencji w tym obszarze. Zapewne ukierunkowanie interwencji może się tu odbywać poprzez wydzielenie części alokacji na </w:t>
      </w:r>
      <w:proofErr w:type="spellStart"/>
      <w:r>
        <w:t>określny</w:t>
      </w:r>
      <w:proofErr w:type="spellEnd"/>
      <w:r>
        <w:t xml:space="preserve"> typ projektów (np. „wsparcie inwestycyjne MŚP poprawiające potencjał konkurencyjny firm z sektora turystyki”), bez stosowania kryterium preferencji. Biorąc jednak pod uwagę różnorodność instrumentów, które będą oferowane w ramach priorytetu inwestycyjnego, zasadne może być jednak stosowanie na etapie wdrożeniowym kryteriów preferencji w układzie sektorowym lub geograficznym. </w:t>
      </w:r>
    </w:p>
    <w:p w:rsidR="00424449" w:rsidRDefault="00424449" w:rsidP="00424449">
      <w:r>
        <w:t xml:space="preserve">Projekt nie rozstrzyga, w jakim zakresie wykorzystywane będą instrumenty zwrotne. Na etapie </w:t>
      </w:r>
      <w:proofErr w:type="spellStart"/>
      <w:r>
        <w:t>operacjonalizacji</w:t>
      </w:r>
      <w:proofErr w:type="spellEnd"/>
      <w:r>
        <w:t xml:space="preserve"> interwencji należy zwrócić uwagę na to, że istnieje zapotrzebowanie również na instrumenty finansowe obrotowe, a nie tylko inwestycyjne</w:t>
      </w:r>
      <w:r>
        <w:rPr>
          <w:rStyle w:val="Odwoanieprzypisudolnego"/>
        </w:rPr>
        <w:footnoteReference w:id="10"/>
      </w:r>
      <w:r>
        <w:t xml:space="preserve"> – ostatecznych wytycznych w tym zakresie powinna dostarczyć ewaluacja </w:t>
      </w:r>
      <w:proofErr w:type="spellStart"/>
      <w:r>
        <w:t>ex-ante</w:t>
      </w:r>
      <w:proofErr w:type="spellEnd"/>
      <w:r>
        <w:t xml:space="preserve"> w zakresie zastosowania instrumentów inżynierii finansowej.</w:t>
      </w:r>
    </w:p>
    <w:p w:rsidR="00424449" w:rsidRPr="00630B87" w:rsidRDefault="00424449" w:rsidP="00424449">
      <w:pPr>
        <w:rPr>
          <w:rFonts w:asciiTheme="majorHAnsi" w:eastAsiaTheme="majorEastAsia" w:hAnsiTheme="majorHAnsi" w:cstheme="majorBidi"/>
          <w:b/>
          <w:bCs/>
          <w:i/>
          <w:iCs/>
          <w:color w:val="366092" w:themeColor="accent1"/>
        </w:rPr>
      </w:pPr>
      <w:r w:rsidRPr="00630B87">
        <w:rPr>
          <w:rFonts w:asciiTheme="majorHAnsi" w:eastAsiaTheme="majorEastAsia" w:hAnsiTheme="majorHAnsi" w:cstheme="majorBidi"/>
          <w:b/>
          <w:bCs/>
          <w:i/>
          <w:iCs/>
          <w:color w:val="366092" w:themeColor="accent1"/>
        </w:rPr>
        <w:t xml:space="preserve">PI 3.4 </w:t>
      </w:r>
      <w:r w:rsidR="007C5AF2">
        <w:rPr>
          <w:rFonts w:asciiTheme="majorHAnsi" w:eastAsiaTheme="majorEastAsia" w:hAnsiTheme="majorHAnsi" w:cstheme="majorBidi"/>
          <w:b/>
          <w:bCs/>
          <w:i/>
          <w:iCs/>
          <w:color w:val="366092" w:themeColor="accent1"/>
        </w:rPr>
        <w:t>W</w:t>
      </w:r>
      <w:r w:rsidR="007C5AF2" w:rsidRPr="00630B87">
        <w:rPr>
          <w:rFonts w:asciiTheme="majorHAnsi" w:eastAsiaTheme="majorEastAsia" w:hAnsiTheme="majorHAnsi" w:cstheme="majorBidi"/>
          <w:b/>
          <w:bCs/>
          <w:i/>
          <w:iCs/>
          <w:color w:val="366092" w:themeColor="accent1"/>
        </w:rPr>
        <w:t xml:space="preserve">spieranie </w:t>
      </w:r>
      <w:r w:rsidRPr="00630B87">
        <w:rPr>
          <w:rFonts w:asciiTheme="majorHAnsi" w:eastAsiaTheme="majorEastAsia" w:hAnsiTheme="majorHAnsi" w:cstheme="majorBidi"/>
          <w:b/>
          <w:bCs/>
          <w:i/>
          <w:iCs/>
          <w:color w:val="366092" w:themeColor="accent1"/>
        </w:rPr>
        <w:t>zdolności MŚP do wzrostu na rynkach regionalnych, krajowych i międzynarodowych oraz do angażowania się w procesy innowacji</w:t>
      </w:r>
    </w:p>
    <w:p w:rsidR="00424449" w:rsidRDefault="00424449" w:rsidP="00424449">
      <w:r>
        <w:t xml:space="preserve">Celem szczegółowym jest </w:t>
      </w:r>
      <w:r>
        <w:rPr>
          <w:i/>
        </w:rPr>
        <w:t xml:space="preserve">podniesienie jakości i rozszerzenie usług oferowanych przez instytucje otoczenia biznesu. </w:t>
      </w:r>
      <w:r>
        <w:t xml:space="preserve">W logice interwencji tak sformułowany cel szczegółowy wynika z przyjęcia założenia, że IOB faktycznie mogą przyczynić się do realizacji celu OP, tj. wzrostu poziomu przedsiębiorczości i poprawy konkurencyjności regionu. Również z tego założenia wynikają rekomendacje co do potrzeby kontynuowania wsparcia IOB tak z poziomu krajowego, jak </w:t>
      </w:r>
      <w:r w:rsidRPr="004811B6">
        <w:t>i</w:t>
      </w:r>
      <w:r>
        <w:t> </w:t>
      </w:r>
      <w:r w:rsidRPr="004811B6">
        <w:t>regionalnego</w:t>
      </w:r>
      <w:r>
        <w:t>.</w:t>
      </w:r>
      <w:r>
        <w:rPr>
          <w:rStyle w:val="Odwoanieprzypisudolnego"/>
        </w:rPr>
        <w:footnoteReference w:id="11"/>
      </w:r>
      <w:r>
        <w:t xml:space="preserve"> Poza wsparciem IOB, w ramach priorytetu będzie mieć miejsce także wsparcie inicjatyw klastrowych. </w:t>
      </w:r>
    </w:p>
    <w:p w:rsidR="00424449" w:rsidRDefault="00424449" w:rsidP="00424449">
      <w:r>
        <w:t xml:space="preserve">Mieszane doświadczenia co do skuteczności dotychczasowych form wsparcia IOB powodują, że poważnie rozważanym sposobem realizacji interwencji w perspektywie 2014-2020 jest finansowanie nie rozwoju IOB, ale świadczonych przez nie usług (takie postulaty znajdują się m.in. w projekcie </w:t>
      </w:r>
      <w:r>
        <w:rPr>
          <w:i/>
        </w:rPr>
        <w:t>Umowy Partnerstwa</w:t>
      </w:r>
      <w:r>
        <w:t>, wynikają także z zakończonej ostatnio ewaluacji wsparcia IOB w województwie podkarpackim</w:t>
      </w:r>
      <w:r>
        <w:rPr>
          <w:rStyle w:val="Odwoanieprzypisudolnego"/>
        </w:rPr>
        <w:footnoteReference w:id="12"/>
      </w:r>
      <w:r>
        <w:t>). Takie podejście, koncepcyjnie słuszne, jest odzwierciedlone w kryterium preferencji („podmioty, które udokumentują świadczenie bezpłatnych usług informacyjnych dla firm”) – warto jednak zwrócić uwagę, że w modelu docelowym IOB powinny być w stanie funkcjonować bez wsparcia publicznego (lub tylko</w:t>
      </w:r>
      <w:r w:rsidR="00B25FD6">
        <w:t xml:space="preserve"> przy</w:t>
      </w:r>
      <w:r>
        <w:t xml:space="preserve"> niewielkim wsparciu), świadcząc swoje usługi przynajmniej częściowo odpłatnie. Projekt RPO w tej chwili zasadniczo spełnia ww. założenia, kładąc jednocześnie duży nacisk na finansowanie usługi (wsparcia) dla IOB, a nie dofinansowywanie usług świadczonych przez IOB. </w:t>
      </w:r>
    </w:p>
    <w:p w:rsidR="00424449" w:rsidRDefault="00424449" w:rsidP="00424449">
      <w:r>
        <w:lastRenderedPageBreak/>
        <w:t xml:space="preserve">Ze stosunkowo niewielką alokacją na PI 3.4 koresponduje założenie o preferencjach dla inicjatyw znajdujących się w obszarze regionalnych inteligentnych specjalizacji, umożliwiające koncentrację wsparcia. Jednocześnie należy podkreślić, że w tematyce określonej poszczególnymi PI, IOB oraz </w:t>
      </w:r>
      <w:proofErr w:type="spellStart"/>
      <w:r>
        <w:t>klastry</w:t>
      </w:r>
      <w:proofErr w:type="spellEnd"/>
      <w:r>
        <w:t xml:space="preserve"> będą mogły ubiegać się (z pewnym ograniczeniami) o wsparcie w ramach PI 1.2, 3.1 i 3.2. Rozwiązania te dają więc możliwość finansowania aktywnych i potrzebnych działań IOB i klastrów, skoncentrowanych na istotnych dla regionu zagadnieniach – przy uniknięciu finansowania projektów służących finansowaniu powstawania i rozwoju wyłącznie warstwy formalno-organizacyjnej tych podmiotów. </w:t>
      </w:r>
    </w:p>
    <w:p w:rsidR="00424449" w:rsidRDefault="00424449" w:rsidP="00424449">
      <w:pPr>
        <w:pStyle w:val="Nagwek3"/>
      </w:pPr>
      <w:r>
        <w:t>Ocena wskaźników</w:t>
      </w:r>
    </w:p>
    <w:p w:rsidR="00424449" w:rsidRDefault="00424449" w:rsidP="00424449">
      <w:pPr>
        <w:pStyle w:val="Nagwek4"/>
      </w:pPr>
      <w:r>
        <w:t xml:space="preserve">Wskaźniki rezultatu </w:t>
      </w:r>
    </w:p>
    <w:p w:rsidR="00424449" w:rsidRDefault="00424449" w:rsidP="00424449">
      <w:r>
        <w:t xml:space="preserve">W poszczególnych priorytetach inwestycyjnych wykorzystano trzy wskaźniki – dwa wskaźniki  rezultatu strategicznego i jeden wskaźnik rezultatu bezpośredniego, wymienione w tabeli poniżej. </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6</w:t>
      </w:r>
      <w:r w:rsidR="001B04AC">
        <w:rPr>
          <w:noProof/>
        </w:rPr>
        <w:fldChar w:fldCharType="end"/>
      </w:r>
      <w:r>
        <w:t>. Oś priorytetowa I – ocena wskaźników rezultatu</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25"/>
        <w:gridCol w:w="2944"/>
        <w:gridCol w:w="1624"/>
        <w:gridCol w:w="1709"/>
        <w:gridCol w:w="1484"/>
      </w:tblGrid>
      <w:tr w:rsidR="00424449" w:rsidTr="00424449">
        <w:tc>
          <w:tcPr>
            <w:tcW w:w="152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424449">
            <w:pPr>
              <w:spacing w:before="120" w:after="120"/>
              <w:jc w:val="center"/>
              <w:rPr>
                <w:b/>
                <w:color w:val="FFFFFF" w:themeColor="background1"/>
                <w:sz w:val="20"/>
              </w:rPr>
            </w:pPr>
            <w:r>
              <w:rPr>
                <w:b/>
                <w:color w:val="FFFFFF" w:themeColor="background1"/>
                <w:sz w:val="20"/>
              </w:rPr>
              <w:t>typ wskaźnika</w:t>
            </w:r>
          </w:p>
        </w:tc>
        <w:tc>
          <w:tcPr>
            <w:tcW w:w="294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wskaźnik rezultatu</w:t>
            </w:r>
          </w:p>
        </w:tc>
        <w:tc>
          <w:tcPr>
            <w:tcW w:w="162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priorytety inwestycyjne</w:t>
            </w:r>
          </w:p>
        </w:tc>
        <w:tc>
          <w:tcPr>
            <w:tcW w:w="17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ocena doboru wskaźnika</w:t>
            </w:r>
          </w:p>
        </w:tc>
        <w:tc>
          <w:tcPr>
            <w:tcW w:w="14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424449">
            <w:pPr>
              <w:spacing w:before="120" w:after="120"/>
              <w:jc w:val="center"/>
              <w:rPr>
                <w:b/>
                <w:color w:val="FFFFFF" w:themeColor="background1"/>
                <w:sz w:val="20"/>
              </w:rPr>
            </w:pPr>
            <w:r>
              <w:rPr>
                <w:b/>
                <w:color w:val="FFFFFF" w:themeColor="background1"/>
                <w:sz w:val="20"/>
              </w:rPr>
              <w:t>ocena oszacowania</w:t>
            </w:r>
          </w:p>
        </w:tc>
      </w:tr>
      <w:tr w:rsidR="00424449" w:rsidTr="00424449">
        <w:tc>
          <w:tcPr>
            <w:tcW w:w="1526" w:type="dxa"/>
            <w:vMerge w:val="restart"/>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8058E" w:rsidRDefault="00424449" w:rsidP="00424449">
            <w:pPr>
              <w:jc w:val="center"/>
              <w:rPr>
                <w:sz w:val="20"/>
              </w:rPr>
            </w:pPr>
            <w:r w:rsidRPr="00A8058E">
              <w:rPr>
                <w:sz w:val="20"/>
              </w:rPr>
              <w:t>wskaźniki rezultatu strategicznego</w:t>
            </w:r>
          </w:p>
        </w:tc>
        <w:tc>
          <w:tcPr>
            <w:tcW w:w="294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120" w:after="120"/>
              <w:jc w:val="center"/>
              <w:rPr>
                <w:rFonts w:eastAsia="Calibri" w:cs="Times New Roman"/>
                <w:i/>
                <w:sz w:val="20"/>
                <w:szCs w:val="20"/>
              </w:rPr>
            </w:pPr>
            <w:r w:rsidRPr="00C7271A">
              <w:rPr>
                <w:i/>
                <w:sz w:val="20"/>
                <w:szCs w:val="20"/>
              </w:rPr>
              <w:t xml:space="preserve">Nakłady sektora przedsiębiorstw na działalność </w:t>
            </w:r>
            <w:proofErr w:type="spellStart"/>
            <w:r w:rsidRPr="00C7271A">
              <w:rPr>
                <w:i/>
                <w:sz w:val="20"/>
                <w:szCs w:val="20"/>
              </w:rPr>
              <w:t>B+R</w:t>
            </w:r>
            <w:proofErr w:type="spellEnd"/>
            <w:r w:rsidRPr="00C7271A">
              <w:rPr>
                <w:i/>
                <w:sz w:val="20"/>
                <w:szCs w:val="20"/>
              </w:rPr>
              <w:t xml:space="preserve"> w relacji do PKB</w:t>
            </w:r>
            <w:r w:rsidRPr="00C7271A" w:rsidDel="00C7271A">
              <w:rPr>
                <w:i/>
                <w:sz w:val="20"/>
                <w:szCs w:val="20"/>
              </w:rPr>
              <w:t xml:space="preserve"> </w:t>
            </w:r>
          </w:p>
        </w:tc>
        <w:tc>
          <w:tcPr>
            <w:tcW w:w="162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1.2</w:t>
            </w:r>
          </w:p>
        </w:tc>
        <w:tc>
          <w:tcPr>
            <w:tcW w:w="17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c>
          <w:tcPr>
            <w:tcW w:w="14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424449">
            <w:pPr>
              <w:spacing w:before="120" w:after="120"/>
              <w:jc w:val="center"/>
              <w:rPr>
                <w:sz w:val="20"/>
              </w:rPr>
            </w:pPr>
            <w:r>
              <w:rPr>
                <w:sz w:val="20"/>
              </w:rPr>
              <w:t>brak uwag</w:t>
            </w:r>
          </w:p>
        </w:tc>
      </w:tr>
      <w:tr w:rsidR="00424449" w:rsidTr="00424449">
        <w:tc>
          <w:tcPr>
            <w:tcW w:w="1526" w:type="dxa"/>
            <w:vMerge/>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8058E" w:rsidRDefault="00424449" w:rsidP="00424449">
            <w:pPr>
              <w:spacing w:before="120" w:after="120"/>
              <w:jc w:val="center"/>
              <w:rPr>
                <w:i/>
                <w:sz w:val="20"/>
                <w:szCs w:val="20"/>
              </w:rPr>
            </w:pPr>
          </w:p>
        </w:tc>
        <w:tc>
          <w:tcPr>
            <w:tcW w:w="294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120" w:after="120"/>
              <w:jc w:val="center"/>
              <w:rPr>
                <w:rFonts w:eastAsia="Calibri" w:cs="Times New Roman"/>
                <w:i/>
                <w:sz w:val="20"/>
                <w:szCs w:val="20"/>
              </w:rPr>
            </w:pPr>
            <w:r w:rsidRPr="00C7271A">
              <w:rPr>
                <w:i/>
                <w:sz w:val="20"/>
                <w:szCs w:val="20"/>
              </w:rPr>
              <w:t>Nakłady inwestycyjne sektora prywatnego w relacji do PKB</w:t>
            </w:r>
            <w:r w:rsidRPr="00C7271A" w:rsidDel="00C7271A">
              <w:rPr>
                <w:i/>
                <w:sz w:val="20"/>
                <w:szCs w:val="20"/>
              </w:rPr>
              <w:t xml:space="preserve"> </w:t>
            </w:r>
          </w:p>
        </w:tc>
        <w:tc>
          <w:tcPr>
            <w:tcW w:w="162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3.1, 3.2, 3.3, 3.4</w:t>
            </w:r>
          </w:p>
        </w:tc>
        <w:tc>
          <w:tcPr>
            <w:tcW w:w="17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pPr>
            <w:r w:rsidRPr="00266B46">
              <w:rPr>
                <w:sz w:val="20"/>
                <w:szCs w:val="18"/>
              </w:rPr>
              <w:t>brak uwag</w:t>
            </w:r>
          </w:p>
        </w:tc>
        <w:tc>
          <w:tcPr>
            <w:tcW w:w="14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424449">
            <w:pPr>
              <w:jc w:val="center"/>
            </w:pPr>
            <w:r w:rsidRPr="00266B46">
              <w:rPr>
                <w:sz w:val="20"/>
                <w:szCs w:val="18"/>
              </w:rPr>
              <w:t>brak uwag</w:t>
            </w:r>
          </w:p>
        </w:tc>
      </w:tr>
    </w:tbl>
    <w:p w:rsidR="00424449" w:rsidRDefault="00424449" w:rsidP="00424449">
      <w:pPr>
        <w:ind w:left="360"/>
        <w:jc w:val="center"/>
        <w:rPr>
          <w:rFonts w:ascii="Calibri" w:eastAsia="Calibri" w:hAnsi="Calibri"/>
          <w:i/>
          <w:sz w:val="20"/>
        </w:rPr>
      </w:pPr>
      <w:r>
        <w:rPr>
          <w:i/>
          <w:sz w:val="20"/>
        </w:rPr>
        <w:t>Źródło: Opracowanie własne</w:t>
      </w:r>
    </w:p>
    <w:p w:rsidR="00424449" w:rsidRDefault="00424449" w:rsidP="00424449">
      <w:pPr>
        <w:pStyle w:val="Nagwek4"/>
      </w:pPr>
      <w:r>
        <w:t>Wskaźniki produktu</w:t>
      </w:r>
    </w:p>
    <w:p w:rsidR="00424449" w:rsidRDefault="00424449" w:rsidP="00424449">
      <w:r>
        <w:t xml:space="preserve">Wskaźniki produktu w większości przypadków dopasowane do logiki interwencji. </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7</w:t>
      </w:r>
      <w:r w:rsidR="001B04AC">
        <w:rPr>
          <w:noProof/>
        </w:rPr>
        <w:fldChar w:fldCharType="end"/>
      </w:r>
      <w:r>
        <w:t>. Oś priorytetowa I – ocena wskaźników produktu</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30"/>
        <w:gridCol w:w="3661"/>
        <w:gridCol w:w="2646"/>
        <w:gridCol w:w="2249"/>
      </w:tblGrid>
      <w:tr w:rsidR="00424449" w:rsidTr="00424449">
        <w:trPr>
          <w:tblHeader/>
        </w:trPr>
        <w:tc>
          <w:tcPr>
            <w:tcW w:w="73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424449">
            <w:pPr>
              <w:spacing w:before="60" w:after="60"/>
              <w:jc w:val="center"/>
              <w:rPr>
                <w:rFonts w:eastAsia="Calibri" w:cs="Times New Roman"/>
                <w:b/>
                <w:color w:val="FFFFFF" w:themeColor="background1"/>
                <w:sz w:val="20"/>
                <w:szCs w:val="18"/>
              </w:rPr>
            </w:pPr>
          </w:p>
        </w:tc>
        <w:tc>
          <w:tcPr>
            <w:tcW w:w="366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60" w:after="60"/>
              <w:jc w:val="center"/>
              <w:rPr>
                <w:rFonts w:eastAsia="Calibri" w:cs="Times New Roman"/>
                <w:b/>
                <w:color w:val="FFFFFF" w:themeColor="background1"/>
                <w:sz w:val="20"/>
                <w:szCs w:val="18"/>
              </w:rPr>
            </w:pPr>
            <w:r>
              <w:rPr>
                <w:b/>
                <w:color w:val="FFFFFF" w:themeColor="background1"/>
                <w:sz w:val="20"/>
                <w:szCs w:val="18"/>
              </w:rPr>
              <w:t xml:space="preserve">wskaźnik </w:t>
            </w:r>
          </w:p>
        </w:tc>
        <w:tc>
          <w:tcPr>
            <w:tcW w:w="26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60" w:after="60"/>
              <w:jc w:val="center"/>
              <w:rPr>
                <w:rFonts w:eastAsia="Calibri" w:cs="Times New Roman"/>
                <w:b/>
                <w:color w:val="FFFFFF" w:themeColor="background1"/>
                <w:sz w:val="20"/>
                <w:szCs w:val="18"/>
              </w:rPr>
            </w:pPr>
            <w:r>
              <w:rPr>
                <w:b/>
                <w:color w:val="FFFFFF" w:themeColor="background1"/>
                <w:sz w:val="20"/>
              </w:rPr>
              <w:t>ocena doboru wskaźnika</w:t>
            </w:r>
          </w:p>
        </w:tc>
        <w:tc>
          <w:tcPr>
            <w:tcW w:w="22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tcPr>
          <w:p w:rsidR="00424449" w:rsidRDefault="00424449" w:rsidP="00424449">
            <w:pPr>
              <w:spacing w:before="60" w:after="60"/>
              <w:jc w:val="center"/>
              <w:rPr>
                <w:b/>
                <w:color w:val="FFFFFF" w:themeColor="background1"/>
                <w:sz w:val="20"/>
              </w:rPr>
            </w:pPr>
            <w:r>
              <w:rPr>
                <w:b/>
                <w:color w:val="FFFFFF" w:themeColor="background1"/>
                <w:sz w:val="20"/>
              </w:rPr>
              <w:t>ocena oszacowania</w:t>
            </w:r>
          </w:p>
        </w:tc>
      </w:tr>
      <w:tr w:rsidR="00424449" w:rsidTr="00424449">
        <w:tc>
          <w:tcPr>
            <w:tcW w:w="730"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eastAsia="Calibri" w:cs="Times New Roman"/>
                <w:b/>
                <w:sz w:val="20"/>
                <w:szCs w:val="18"/>
              </w:rPr>
            </w:pPr>
            <w:r>
              <w:rPr>
                <w:b/>
                <w:sz w:val="20"/>
                <w:szCs w:val="18"/>
              </w:rPr>
              <w:t>1.2</w:t>
            </w:r>
          </w:p>
        </w:tc>
        <w:tc>
          <w:tcPr>
            <w:tcW w:w="366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jc w:val="left"/>
              <w:rPr>
                <w:rFonts w:eastAsia="Calibri" w:cs="Arial"/>
                <w:i/>
                <w:sz w:val="20"/>
                <w:szCs w:val="20"/>
              </w:rPr>
            </w:pPr>
            <w:r>
              <w:rPr>
                <w:rFonts w:cs="Arial"/>
                <w:i/>
                <w:sz w:val="20"/>
                <w:szCs w:val="20"/>
              </w:rPr>
              <w:t>Liczba przedsiębiorstw otrzymujących wsparcie (CI)</w:t>
            </w:r>
          </w:p>
        </w:tc>
        <w:tc>
          <w:tcPr>
            <w:tcW w:w="26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424449" w:rsidRDefault="00424449" w:rsidP="00424449">
            <w:pPr>
              <w:spacing w:before="60" w:after="60"/>
              <w:jc w:val="center"/>
              <w:rPr>
                <w:sz w:val="20"/>
                <w:szCs w:val="18"/>
              </w:rPr>
            </w:pPr>
            <w:r>
              <w:rPr>
                <w:sz w:val="20"/>
                <w:szCs w:val="18"/>
              </w:rPr>
              <w:t>brak uwag</w:t>
            </w:r>
          </w:p>
        </w:tc>
      </w:tr>
      <w:tr w:rsidR="00424449" w:rsidTr="00424449">
        <w:tc>
          <w:tcPr>
            <w:tcW w:w="730" w:type="dxa"/>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left"/>
              <w:rPr>
                <w:rFonts w:eastAsia="Calibri" w:cs="Times New Roman"/>
                <w:b/>
                <w:sz w:val="20"/>
                <w:szCs w:val="18"/>
              </w:rPr>
            </w:pPr>
          </w:p>
        </w:tc>
        <w:tc>
          <w:tcPr>
            <w:tcW w:w="366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jc w:val="left"/>
              <w:rPr>
                <w:rFonts w:eastAsia="Calibri" w:cs="Arial"/>
                <w:i/>
                <w:sz w:val="20"/>
                <w:szCs w:val="20"/>
              </w:rPr>
            </w:pPr>
            <w:r>
              <w:rPr>
                <w:rFonts w:cs="Arial"/>
                <w:i/>
                <w:sz w:val="20"/>
                <w:szCs w:val="20"/>
              </w:rPr>
              <w:t xml:space="preserve">Inwestycje prywatne uzupełniające wsparcie publiczne dla projektów w zakresie innowacji lub </w:t>
            </w:r>
            <w:proofErr w:type="spellStart"/>
            <w:r>
              <w:rPr>
                <w:rFonts w:cs="Arial"/>
                <w:i/>
                <w:sz w:val="20"/>
                <w:szCs w:val="20"/>
              </w:rPr>
              <w:t>B+R</w:t>
            </w:r>
            <w:proofErr w:type="spellEnd"/>
            <w:r>
              <w:rPr>
                <w:rFonts w:cs="Arial"/>
                <w:i/>
                <w:sz w:val="20"/>
                <w:szCs w:val="20"/>
              </w:rPr>
              <w:t xml:space="preserve"> (CI)</w:t>
            </w:r>
          </w:p>
        </w:tc>
        <w:tc>
          <w:tcPr>
            <w:tcW w:w="26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424449" w:rsidRDefault="00424449" w:rsidP="00424449">
            <w:pPr>
              <w:spacing w:before="60" w:after="60"/>
              <w:jc w:val="center"/>
              <w:rPr>
                <w:sz w:val="20"/>
                <w:szCs w:val="18"/>
              </w:rPr>
            </w:pPr>
            <w:r>
              <w:rPr>
                <w:sz w:val="20"/>
                <w:szCs w:val="18"/>
              </w:rPr>
              <w:t>brak uwag</w:t>
            </w:r>
          </w:p>
        </w:tc>
      </w:tr>
      <w:tr w:rsidR="00424449" w:rsidTr="00424449">
        <w:trPr>
          <w:trHeight w:val="962"/>
        </w:trPr>
        <w:tc>
          <w:tcPr>
            <w:tcW w:w="73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eastAsia="Calibri" w:cs="Times New Roman"/>
                <w:b/>
                <w:sz w:val="20"/>
                <w:szCs w:val="18"/>
              </w:rPr>
            </w:pPr>
            <w:r>
              <w:rPr>
                <w:b/>
                <w:sz w:val="20"/>
                <w:szCs w:val="18"/>
              </w:rPr>
              <w:t>3.1</w:t>
            </w:r>
          </w:p>
        </w:tc>
        <w:tc>
          <w:tcPr>
            <w:tcW w:w="3662"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Default="00424449" w:rsidP="00424449">
            <w:pPr>
              <w:spacing w:after="120" w:line="276" w:lineRule="auto"/>
              <w:jc w:val="left"/>
              <w:rPr>
                <w:rFonts w:eastAsia="Calibri" w:cs="Arial"/>
                <w:i/>
                <w:sz w:val="20"/>
                <w:szCs w:val="20"/>
              </w:rPr>
            </w:pPr>
            <w:r>
              <w:rPr>
                <w:rFonts w:cs="Arial"/>
                <w:i/>
                <w:sz w:val="20"/>
                <w:szCs w:val="20"/>
              </w:rPr>
              <w:t>Powierzchnia przygotowanych terenów inwestycyjnych</w:t>
            </w:r>
          </w:p>
        </w:tc>
        <w:tc>
          <w:tcPr>
            <w:tcW w:w="2647"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Pr="002502C9" w:rsidRDefault="00424449" w:rsidP="00424449">
            <w:pPr>
              <w:jc w:val="center"/>
              <w:rPr>
                <w:rFonts w:eastAsia="Calibri" w:cs="Times New Roman"/>
                <w:sz w:val="20"/>
                <w:szCs w:val="18"/>
              </w:rPr>
            </w:pPr>
            <w:r w:rsidRPr="002502C9">
              <w:rPr>
                <w:sz w:val="20"/>
                <w:szCs w:val="18"/>
              </w:rPr>
              <w:t>brak uwag</w:t>
            </w:r>
          </w:p>
        </w:tc>
        <w:tc>
          <w:tcPr>
            <w:tcW w:w="2249"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Pr="002502C9" w:rsidRDefault="00424449" w:rsidP="00424449">
            <w:pPr>
              <w:jc w:val="center"/>
              <w:rPr>
                <w:sz w:val="20"/>
                <w:szCs w:val="18"/>
              </w:rPr>
            </w:pPr>
            <w:r w:rsidRPr="002502C9">
              <w:rPr>
                <w:sz w:val="20"/>
                <w:szCs w:val="18"/>
              </w:rPr>
              <w:t>brak uwag</w:t>
            </w:r>
          </w:p>
        </w:tc>
      </w:tr>
      <w:tr w:rsidR="00424449" w:rsidTr="00424449">
        <w:trPr>
          <w:trHeight w:val="116"/>
        </w:trPr>
        <w:tc>
          <w:tcPr>
            <w:tcW w:w="730"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eastAsia="Calibri" w:cs="Times New Roman"/>
                <w:b/>
                <w:sz w:val="20"/>
                <w:szCs w:val="18"/>
              </w:rPr>
            </w:pPr>
            <w:r>
              <w:rPr>
                <w:b/>
                <w:sz w:val="20"/>
                <w:szCs w:val="18"/>
              </w:rPr>
              <w:t>3.2</w:t>
            </w:r>
          </w:p>
        </w:tc>
        <w:tc>
          <w:tcPr>
            <w:tcW w:w="366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hideMark/>
          </w:tcPr>
          <w:p w:rsidR="00424449" w:rsidRDefault="00424449" w:rsidP="00424449">
            <w:pPr>
              <w:spacing w:line="276" w:lineRule="auto"/>
              <w:jc w:val="left"/>
              <w:rPr>
                <w:rFonts w:eastAsia="Calibri" w:cs="Arial"/>
                <w:i/>
                <w:sz w:val="20"/>
                <w:szCs w:val="20"/>
              </w:rPr>
            </w:pPr>
            <w:r>
              <w:rPr>
                <w:rFonts w:cs="Arial"/>
                <w:i/>
                <w:sz w:val="20"/>
                <w:szCs w:val="20"/>
              </w:rPr>
              <w:t>Liczba przedsiębiorstw otrzymujących wsparcie (CI)</w:t>
            </w:r>
          </w:p>
        </w:tc>
        <w:tc>
          <w:tcPr>
            <w:tcW w:w="26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424449">
            <w:pPr>
              <w:jc w:val="center"/>
              <w:rPr>
                <w:sz w:val="20"/>
                <w:szCs w:val="18"/>
              </w:rPr>
            </w:pPr>
            <w:r w:rsidRPr="002502C9">
              <w:rPr>
                <w:sz w:val="20"/>
                <w:szCs w:val="18"/>
              </w:rPr>
              <w:t>brak uwag</w:t>
            </w:r>
          </w:p>
        </w:tc>
      </w:tr>
      <w:tr w:rsidR="00424449" w:rsidTr="00424449">
        <w:trPr>
          <w:trHeight w:val="238"/>
        </w:trPr>
        <w:tc>
          <w:tcPr>
            <w:tcW w:w="730" w:type="dxa"/>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left"/>
              <w:rPr>
                <w:rFonts w:eastAsia="Calibri" w:cs="Times New Roman"/>
                <w:b/>
                <w:sz w:val="20"/>
                <w:szCs w:val="18"/>
              </w:rPr>
            </w:pPr>
          </w:p>
        </w:tc>
        <w:tc>
          <w:tcPr>
            <w:tcW w:w="366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hideMark/>
          </w:tcPr>
          <w:p w:rsidR="00424449" w:rsidRDefault="00424449" w:rsidP="00424449">
            <w:pPr>
              <w:jc w:val="left"/>
              <w:rPr>
                <w:rFonts w:eastAsia="Calibri" w:cs="Arial"/>
                <w:i/>
                <w:sz w:val="20"/>
                <w:szCs w:val="20"/>
              </w:rPr>
            </w:pPr>
            <w:r>
              <w:rPr>
                <w:rFonts w:cs="Arial"/>
                <w:i/>
                <w:sz w:val="20"/>
                <w:szCs w:val="20"/>
              </w:rPr>
              <w:t xml:space="preserve">Liczba wspartych przedsięwzięć informacyjno-promocyjnych </w:t>
            </w:r>
          </w:p>
        </w:tc>
        <w:tc>
          <w:tcPr>
            <w:tcW w:w="26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424449">
            <w:pPr>
              <w:jc w:val="center"/>
              <w:rPr>
                <w:sz w:val="20"/>
                <w:szCs w:val="18"/>
              </w:rPr>
            </w:pPr>
            <w:r w:rsidRPr="002502C9">
              <w:rPr>
                <w:sz w:val="20"/>
                <w:szCs w:val="18"/>
              </w:rPr>
              <w:t>brak uwag</w:t>
            </w:r>
          </w:p>
        </w:tc>
      </w:tr>
      <w:tr w:rsidR="00424449" w:rsidTr="00424449">
        <w:trPr>
          <w:trHeight w:val="752"/>
        </w:trPr>
        <w:tc>
          <w:tcPr>
            <w:tcW w:w="73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eastAsia="Calibri" w:cs="Times New Roman"/>
                <w:b/>
                <w:sz w:val="20"/>
                <w:szCs w:val="18"/>
              </w:rPr>
            </w:pPr>
            <w:r>
              <w:rPr>
                <w:b/>
                <w:sz w:val="20"/>
                <w:szCs w:val="18"/>
              </w:rPr>
              <w:t>3.3</w:t>
            </w:r>
          </w:p>
        </w:tc>
        <w:tc>
          <w:tcPr>
            <w:tcW w:w="3662"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tcPr>
          <w:p w:rsidR="00424449" w:rsidRDefault="00424449" w:rsidP="00424449">
            <w:pPr>
              <w:spacing w:line="276" w:lineRule="auto"/>
              <w:jc w:val="left"/>
              <w:rPr>
                <w:rFonts w:eastAsia="Calibri" w:cs="Arial"/>
                <w:i/>
                <w:sz w:val="20"/>
                <w:szCs w:val="20"/>
              </w:rPr>
            </w:pPr>
            <w:r>
              <w:rPr>
                <w:rFonts w:cs="Arial"/>
                <w:i/>
                <w:sz w:val="20"/>
                <w:szCs w:val="20"/>
              </w:rPr>
              <w:t>Liczba przedsiębiorstw otrzymujących wsparcie (CI)</w:t>
            </w:r>
          </w:p>
        </w:tc>
        <w:tc>
          <w:tcPr>
            <w:tcW w:w="2647"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Default="00424449" w:rsidP="00424449">
            <w:pPr>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Default="00424449" w:rsidP="00424449">
            <w:pPr>
              <w:jc w:val="center"/>
              <w:rPr>
                <w:sz w:val="20"/>
                <w:szCs w:val="18"/>
              </w:rPr>
            </w:pPr>
            <w:r w:rsidRPr="002502C9">
              <w:rPr>
                <w:sz w:val="20"/>
                <w:szCs w:val="18"/>
              </w:rPr>
              <w:t>brak uwag</w:t>
            </w:r>
          </w:p>
        </w:tc>
      </w:tr>
      <w:tr w:rsidR="00424449" w:rsidTr="00424449">
        <w:trPr>
          <w:trHeight w:val="618"/>
        </w:trPr>
        <w:tc>
          <w:tcPr>
            <w:tcW w:w="73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eastAsia="Calibri" w:cs="Times New Roman"/>
                <w:b/>
                <w:sz w:val="20"/>
                <w:szCs w:val="18"/>
              </w:rPr>
            </w:pPr>
            <w:r>
              <w:rPr>
                <w:b/>
                <w:sz w:val="20"/>
                <w:szCs w:val="18"/>
              </w:rPr>
              <w:lastRenderedPageBreak/>
              <w:t>3.4</w:t>
            </w:r>
          </w:p>
        </w:tc>
        <w:tc>
          <w:tcPr>
            <w:tcW w:w="3662"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tcPr>
          <w:p w:rsidR="00424449" w:rsidRDefault="00424449" w:rsidP="00424449">
            <w:pPr>
              <w:jc w:val="left"/>
              <w:rPr>
                <w:rFonts w:eastAsia="Calibri" w:cs="Arial"/>
                <w:i/>
                <w:sz w:val="20"/>
                <w:szCs w:val="20"/>
              </w:rPr>
            </w:pPr>
            <w:r>
              <w:rPr>
                <w:rFonts w:cs="Arial"/>
                <w:i/>
                <w:sz w:val="20"/>
                <w:szCs w:val="20"/>
              </w:rPr>
              <w:t>Liczba wspartych instytucji otoczenia biznesu</w:t>
            </w:r>
          </w:p>
        </w:tc>
        <w:tc>
          <w:tcPr>
            <w:tcW w:w="2647"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Default="00424449" w:rsidP="00424449">
            <w:pPr>
              <w:jc w:val="center"/>
              <w:rPr>
                <w:rFonts w:eastAsia="Calibri" w:cs="Times New Roman"/>
                <w:sz w:val="20"/>
                <w:szCs w:val="18"/>
              </w:rPr>
            </w:pPr>
            <w:r>
              <w:rPr>
                <w:sz w:val="20"/>
                <w:szCs w:val="18"/>
              </w:rPr>
              <w:t>brak uwag</w:t>
            </w:r>
          </w:p>
        </w:tc>
        <w:tc>
          <w:tcPr>
            <w:tcW w:w="2249"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Default="00424449" w:rsidP="00424449">
            <w:pPr>
              <w:spacing w:before="60" w:after="60"/>
              <w:jc w:val="center"/>
              <w:rPr>
                <w:sz w:val="20"/>
                <w:szCs w:val="18"/>
              </w:rPr>
            </w:pPr>
            <w:r w:rsidRPr="002502C9">
              <w:rPr>
                <w:sz w:val="20"/>
                <w:szCs w:val="18"/>
              </w:rPr>
              <w:t>brak uwag</w:t>
            </w:r>
          </w:p>
        </w:tc>
      </w:tr>
    </w:tbl>
    <w:p w:rsidR="00424449" w:rsidRDefault="00424449" w:rsidP="00424449">
      <w:pPr>
        <w:ind w:left="360"/>
        <w:jc w:val="center"/>
        <w:rPr>
          <w:rFonts w:ascii="Calibri" w:eastAsia="Calibri" w:hAnsi="Calibri"/>
          <w:i/>
          <w:sz w:val="20"/>
        </w:rPr>
      </w:pPr>
      <w:r>
        <w:rPr>
          <w:i/>
          <w:sz w:val="20"/>
        </w:rPr>
        <w:t>Źródło: Opracowanie własne</w:t>
      </w:r>
    </w:p>
    <w:p w:rsidR="00424449" w:rsidRDefault="00424449" w:rsidP="00424449">
      <w:pPr>
        <w:pStyle w:val="Nagwek4"/>
      </w:pPr>
      <w:r>
        <w:t>Wskaźniki wybrane do ram wykonania</w:t>
      </w:r>
    </w:p>
    <w:p w:rsidR="00424449" w:rsidRDefault="00424449" w:rsidP="00424449">
      <w:r>
        <w:t xml:space="preserve">Wskaźnik </w:t>
      </w:r>
      <w:r>
        <w:rPr>
          <w:i/>
        </w:rPr>
        <w:t>liczba przedsiębiorstw otrzymujących wsparcie</w:t>
      </w:r>
      <w:r>
        <w:t xml:space="preserve"> występuje w 3 z 5 priorytetów inwestycyjnych OP I, odpowiadających łącznie za zdecydowaną większość alokacji – w związku z tym należy uznać, że został dobrany prawidłowo i w wystarczającym stopniu ilustruje planowaną interwencję. </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8</w:t>
      </w:r>
      <w:r w:rsidR="001B04AC">
        <w:rPr>
          <w:noProof/>
        </w:rPr>
        <w:fldChar w:fldCharType="end"/>
      </w:r>
      <w:r>
        <w:t>. Oś priorytetowa I – ocena wskaźników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5516"/>
        <w:gridCol w:w="3770"/>
      </w:tblGrid>
      <w:tr w:rsidR="00424449" w:rsidTr="00424449">
        <w:tc>
          <w:tcPr>
            <w:tcW w:w="55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wskaźnik rezultatu</w:t>
            </w:r>
          </w:p>
        </w:tc>
        <w:tc>
          <w:tcPr>
            <w:tcW w:w="37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ocena doboru wskaźnika</w:t>
            </w:r>
          </w:p>
        </w:tc>
      </w:tr>
      <w:tr w:rsidR="00424449" w:rsidTr="00424449">
        <w:tc>
          <w:tcPr>
            <w:tcW w:w="55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line="276" w:lineRule="auto"/>
              <w:rPr>
                <w:rFonts w:eastAsia="Calibri" w:cs="Arial"/>
                <w:i/>
                <w:sz w:val="20"/>
                <w:szCs w:val="20"/>
              </w:rPr>
            </w:pPr>
            <w:r>
              <w:rPr>
                <w:rFonts w:cs="Arial"/>
                <w:i/>
                <w:sz w:val="20"/>
                <w:szCs w:val="20"/>
              </w:rPr>
              <w:t>Liczba przedsiębiorstw otrzymujących wsparcie (CI)</w:t>
            </w:r>
          </w:p>
        </w:tc>
        <w:tc>
          <w:tcPr>
            <w:tcW w:w="37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r>
      <w:tr w:rsidR="00424449" w:rsidTr="00424449">
        <w:tc>
          <w:tcPr>
            <w:tcW w:w="55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hideMark/>
          </w:tcPr>
          <w:p w:rsidR="00424449" w:rsidRDefault="00424449" w:rsidP="00424449">
            <w:pPr>
              <w:rPr>
                <w:rFonts w:cs="Arial"/>
                <w:i/>
                <w:sz w:val="20"/>
                <w:szCs w:val="20"/>
              </w:rPr>
            </w:pPr>
            <w:r w:rsidRPr="00293309">
              <w:rPr>
                <w:rFonts w:cs="Arial"/>
                <w:i/>
                <w:sz w:val="20"/>
                <w:szCs w:val="20"/>
              </w:rPr>
              <w:t>Liczba wspartych instytucji otoczenia biznesu</w:t>
            </w:r>
          </w:p>
        </w:tc>
        <w:tc>
          <w:tcPr>
            <w:tcW w:w="37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55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424449">
            <w:pPr>
              <w:spacing w:before="60" w:after="60"/>
              <w:jc w:val="left"/>
              <w:rPr>
                <w:rFonts w:ascii="Calibri" w:eastAsia="Calibri" w:hAnsi="Calibri" w:cs="Times New Roman"/>
                <w:i/>
                <w:color w:val="282828"/>
                <w:sz w:val="20"/>
              </w:rPr>
            </w:pPr>
            <w:r>
              <w:rPr>
                <w:rFonts w:cs="Arial"/>
                <w:i/>
                <w:sz w:val="20"/>
                <w:szCs w:val="20"/>
              </w:rPr>
              <w:t>Całkowita kwota wydatków kwalifikowanych</w:t>
            </w:r>
          </w:p>
        </w:tc>
        <w:tc>
          <w:tcPr>
            <w:tcW w:w="377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r>
    </w:tbl>
    <w:p w:rsidR="00424449" w:rsidRDefault="00424449" w:rsidP="00424449">
      <w:pPr>
        <w:ind w:left="360"/>
        <w:jc w:val="center"/>
        <w:rPr>
          <w:rFonts w:ascii="Calibri" w:eastAsia="Calibri" w:hAnsi="Calibri"/>
          <w:i/>
          <w:sz w:val="20"/>
        </w:rPr>
      </w:pPr>
      <w:r>
        <w:rPr>
          <w:i/>
          <w:sz w:val="20"/>
        </w:rPr>
        <w:t>Źródło: Opracowanie własne</w:t>
      </w:r>
    </w:p>
    <w:p w:rsidR="00424449" w:rsidRDefault="00424449" w:rsidP="00424449">
      <w:pPr>
        <w:pStyle w:val="Nagwek3"/>
      </w:pPr>
      <w:r>
        <w:t>Wkład w realizację celów dokumentów strategicznych i celów polityk horyzontalnych</w:t>
      </w:r>
    </w:p>
    <w:p w:rsidR="00424449" w:rsidRDefault="00424449" w:rsidP="00424449">
      <w:pPr>
        <w:pStyle w:val="Nagwek4"/>
      </w:pPr>
      <w:r>
        <w:t>Cele strategiczne na poziomie europejskim i polityki horyzontalne</w:t>
      </w:r>
    </w:p>
    <w:p w:rsidR="00424449" w:rsidRDefault="00424449" w:rsidP="00424449">
      <w:r>
        <w:t>Należy wysoko ocenić spójność Osi 1. projektu RPO WP ze Strategią Europa 2020. Przede wszystkim warto zaznaczyć podkreślenie inteligentnego wzrostu już na poziomie celu głównego programu, a</w:t>
      </w:r>
      <w:r w:rsidR="006E50D0">
        <w:t> </w:t>
      </w:r>
      <w:r>
        <w:t xml:space="preserve"> także wysoką – w porównaniu do innych projektów programów operacyjnych – alokację na priorytety inwestycyjne związane z rozwojem innowacyjności. Szczególna waga poświęcona przedsiębiorstwom oraz otoczeniu biznesu wpisuje się ponadto w postulaty </w:t>
      </w:r>
      <w:proofErr w:type="spellStart"/>
      <w:r>
        <w:rPr>
          <w:i/>
        </w:rPr>
        <w:t>Position</w:t>
      </w:r>
      <w:proofErr w:type="spellEnd"/>
      <w:r>
        <w:rPr>
          <w:i/>
        </w:rPr>
        <w:t xml:space="preserve"> Paper </w:t>
      </w:r>
      <w:r>
        <w:t xml:space="preserve">oraz inicjatyw wspólnotowych: </w:t>
      </w:r>
      <w:r>
        <w:rPr>
          <w:i/>
        </w:rPr>
        <w:t>Unii Innowacji</w:t>
      </w:r>
      <w:r>
        <w:t xml:space="preserve"> oraz </w:t>
      </w:r>
      <w:r>
        <w:rPr>
          <w:i/>
        </w:rPr>
        <w:t>Polityki Przemysłowej w dobie globalizacji</w:t>
      </w:r>
      <w:r>
        <w:t xml:space="preserve">. Przy okazji ostatniej z nich w istotny sposób będzie realizować ją preferencja zastosowana względem regionalnych specjalizacji, określonych w RIS. </w:t>
      </w:r>
      <w:r>
        <w:rPr>
          <w:i/>
        </w:rPr>
        <w:t>.</w:t>
      </w:r>
    </w:p>
    <w:p w:rsidR="00424449" w:rsidRDefault="00424449" w:rsidP="00424449">
      <w:r>
        <w:t>W osi 1. projektu RPO nie widać sprzeczności z politykami horyzontalnymi. Co więcej, wydaje się, że ich szczególnie premiowanie przy okazji priorytetów inwestycyjnych związanych z innowacyjnością (szczególnie zasady równości szans, niedyskryminacji oraz zrównoważonego rozwoju) może prowadzić do punktowania absurdalnych uzasadnień beneficjentów we wnioskach o dofinansowanie i wypaczać interwencję.</w:t>
      </w:r>
      <w:r>
        <w:rPr>
          <w:rStyle w:val="Odwoanieprzypisudolnego"/>
        </w:rPr>
        <w:footnoteReference w:id="13"/>
      </w:r>
      <w:r>
        <w:t xml:space="preserve"> Przy okazji większych inwestycji innowacyjnych w ramach poszanowania zasady zrównoważonego rozwoju sensowne wydaje się wprowadzenie obligatoryjnej oceny oddziaływania na środowisko, jakkolwiek w tym aspekcie lepiej jest weryfikować projekty pod kątem ewentualnych sprzeczności z politykami horyzontalnymi aniżeli realizacji takowych poprzez konkretne przedsięwzięcia. Możliwe pole do zastosowania preferencji dla zasad polityk horyzontalnych istnieje natomiast szczególnie w przypadku priorytetu 1.2 (dla technologii </w:t>
      </w:r>
      <w:r>
        <w:lastRenderedPageBreak/>
        <w:t>informacyjnych) oraz priorytetu 3.3 (dla technologii informacyjnych oraz projektów zakładających wdrożenie technologii rozwiązań energooszczędnych), co zostało częściowo wyeksponowane w</w:t>
      </w:r>
      <w:r w:rsidR="006E50D0">
        <w:t> </w:t>
      </w:r>
      <w:r>
        <w:t xml:space="preserve"> projekcie programu. </w:t>
      </w:r>
    </w:p>
    <w:p w:rsidR="00424449" w:rsidRDefault="00424449" w:rsidP="00424449">
      <w:pPr>
        <w:pStyle w:val="Nagwek4"/>
      </w:pPr>
      <w:r>
        <w:t>Cele strategiczne na poziomie krajowym</w:t>
      </w:r>
    </w:p>
    <w:p w:rsidR="00424449" w:rsidRDefault="00424449" w:rsidP="00424449">
      <w:proofErr w:type="spellStart"/>
      <w:r>
        <w:t>Prokonkurencyjna</w:t>
      </w:r>
      <w:proofErr w:type="spellEnd"/>
      <w:r>
        <w:t xml:space="preserve"> orientacja osi 1. w projekcie RPO WP wpisuje się w cele wyznaczone przez DSRK jak i SRK, może także szczególnie wzmocnić efekty Strategii Rozwoju Polski Wschodniej, która, podobnie jak makroregionalny program operacyjny, podkreśla rolę innowacyjności jako jednego z</w:t>
      </w:r>
      <w:r w:rsidR="006E50D0">
        <w:t> </w:t>
      </w:r>
      <w:r>
        <w:t xml:space="preserve"> selektywnie wyznaczonych obszarów strategicznej interwencji. Można zatem uznać, że OP 1. jest spójna zarówno ze strategiami krajowymi, jak i makroregionalnymi, gdzie ponadto szczególnie podkreśla się rolę inteligentnych specjalizacji. Sam sposób preferencji dla regionalnych specjalizacji</w:t>
      </w:r>
      <w:r w:rsidR="00376CC6">
        <w:t xml:space="preserve"> </w:t>
      </w:r>
      <w:r>
        <w:t>wydaje się ponadto odpowiadać na podejście stosowane w KSRR – stawiające na rozwój bazujący na specyficznych potencjałach danego terytorium. Wpisuje się ponadto w pakiet interwencji Strategii Innowacyjności i Efektywności Gospodarki, w tym także w zasady i działania dotyczące wzmocnienia regionalnej polityki innowacyjnej.</w:t>
      </w:r>
    </w:p>
    <w:p w:rsidR="00424449" w:rsidRDefault="00424449" w:rsidP="00424449">
      <w:pPr>
        <w:pStyle w:val="Nagwek4"/>
      </w:pPr>
      <w:r>
        <w:t>Cele strategiczne województwa podkarpackiego</w:t>
      </w:r>
    </w:p>
    <w:p w:rsidR="00424449" w:rsidRDefault="00424449" w:rsidP="00424449">
      <w:r>
        <w:t xml:space="preserve">Jako wysoką należy ocenić spójność OP 1. w projekcie RPO WP w stosunku do SRWP 2020. Oś priorytetowa w bardzo dużym stopniu </w:t>
      </w:r>
      <w:proofErr w:type="spellStart"/>
      <w:r>
        <w:t>operacjonalizuje</w:t>
      </w:r>
      <w:proofErr w:type="spellEnd"/>
      <w:r>
        <w:t xml:space="preserve"> cel 1. SRWP 2020 (</w:t>
      </w:r>
      <w:r>
        <w:rPr>
          <w:i/>
        </w:rPr>
        <w:t>Rozwijanie przewag regionu w oparciu o kreatywne specjalizacje jako przejaw budowania konkurencyjności krajowej i</w:t>
      </w:r>
      <w:r w:rsidR="006E50D0">
        <w:rPr>
          <w:i/>
        </w:rPr>
        <w:t> </w:t>
      </w:r>
      <w:r>
        <w:rPr>
          <w:i/>
        </w:rPr>
        <w:t>międzynarodowej</w:t>
      </w:r>
      <w:r>
        <w:t xml:space="preserve">) –wyraźnie eksponując </w:t>
      </w:r>
      <w:r>
        <w:rPr>
          <w:i/>
        </w:rPr>
        <w:t xml:space="preserve">przemysł </w:t>
      </w:r>
      <w:r>
        <w:t xml:space="preserve">(1.1), </w:t>
      </w:r>
      <w:r>
        <w:rPr>
          <w:i/>
        </w:rPr>
        <w:t>naukę, badania i szkolnictwo wyższe</w:t>
      </w:r>
      <w:r>
        <w:t xml:space="preserve"> (1.2) oraz </w:t>
      </w:r>
      <w:r>
        <w:rPr>
          <w:i/>
        </w:rPr>
        <w:t>instytucje otoczenia biznesu</w:t>
      </w:r>
      <w:r>
        <w:t xml:space="preserve"> (1.5). Zapisy projektu RPO także w pewnym stopniu preferują silniej wyeksponowane w SRWP 2020 zagadnienia związane z rolnictwem oraz turystyką, choć większa część interwencji SRWP w tych obszarach pozostanie jednak poza polem oddziaływania programu. </w:t>
      </w:r>
    </w:p>
    <w:p w:rsidR="00424449" w:rsidRDefault="00424449">
      <w:pPr>
        <w:jc w:val="left"/>
      </w:pPr>
      <w:r>
        <w:br w:type="page"/>
      </w:r>
    </w:p>
    <w:p w:rsidR="00424449" w:rsidRDefault="00424449" w:rsidP="00821189">
      <w:pPr>
        <w:pStyle w:val="Nagwek2"/>
      </w:pPr>
      <w:bookmarkStart w:id="11" w:name="_Toc375208051"/>
      <w:bookmarkStart w:id="12" w:name="_Toc384914403"/>
      <w:bookmarkStart w:id="13" w:name="_Toc375208052"/>
      <w:bookmarkStart w:id="14" w:name="_Toc369792651"/>
      <w:r>
        <w:lastRenderedPageBreak/>
        <w:t xml:space="preserve">Oś priorytetowa II. </w:t>
      </w:r>
      <w:r w:rsidRPr="00424449">
        <w:rPr>
          <w:i/>
        </w:rPr>
        <w:t xml:space="preserve">Cyfrowe </w:t>
      </w:r>
      <w:bookmarkEnd w:id="11"/>
      <w:bookmarkEnd w:id="12"/>
      <w:r w:rsidR="007A7FD4">
        <w:rPr>
          <w:i/>
        </w:rPr>
        <w:t>P</w:t>
      </w:r>
      <w:r w:rsidR="007A7FD4" w:rsidRPr="00424449">
        <w:rPr>
          <w:i/>
        </w:rPr>
        <w:t>odkarpackie</w:t>
      </w:r>
    </w:p>
    <w:p w:rsidR="00424449" w:rsidRDefault="00424449" w:rsidP="00821189">
      <w:pPr>
        <w:pStyle w:val="Nagwek3"/>
      </w:pPr>
      <w:r>
        <w:t>Ocena przesłanek interwencji</w:t>
      </w:r>
    </w:p>
    <w:p w:rsidR="00424449" w:rsidRPr="00DA11CA" w:rsidRDefault="00424449" w:rsidP="00821189">
      <w:r>
        <w:t>Dia</w:t>
      </w:r>
      <w:r w:rsidRPr="00DA11CA">
        <w:t xml:space="preserve">gnoza w sekcji 1.1 zasługuje na generalnie pozytywną ocenę. W stosunkowo selektywny sposób wyróżniono kategorie e-usług publicznych, w przypadku których (pomimo widocznych efektów dotychczasowej interwencji) wskazana jest kontynuacja wsparcia: e-administracja, systemy informacji przestrzennej, e-zdrowie oraz e-edukacja. W przypadku e-zdrowia oraz e-administracji słusznie wskazuje się na konieczność rozbudowy/wykorzystania już istniejących (względnie ciągle tworzonych rozwiązań) rozwiązań: PSIM/RCIM oraz </w:t>
      </w:r>
      <w:proofErr w:type="spellStart"/>
      <w:r w:rsidRPr="00DA11CA">
        <w:t>PSeAP</w:t>
      </w:r>
      <w:proofErr w:type="spellEnd"/>
      <w:r w:rsidRPr="00DA11CA">
        <w:t>/</w:t>
      </w:r>
      <w:proofErr w:type="spellStart"/>
      <w:r w:rsidRPr="00DA11CA">
        <w:t>ePUAP</w:t>
      </w:r>
      <w:proofErr w:type="spellEnd"/>
      <w:r w:rsidRPr="00DA11CA">
        <w:t xml:space="preserve">. </w:t>
      </w:r>
    </w:p>
    <w:p w:rsidR="00424449" w:rsidRPr="00DA11CA" w:rsidRDefault="00424449" w:rsidP="00821189">
      <w:r w:rsidRPr="00DA11CA">
        <w:t xml:space="preserve">Opisana powyżej identyfikacja obszarów, w których wskazane jest rozwijane e-usługi zawiera także wskazanie, w jakim kierunku powinna zmierzać interwencja oraz jakiego rodzaju rezultaty (oczekiwane efekty) powinny zostać osiągnięte dzięki jej realizacji. Zgodnie z zapisami projektu programu najważniejszym wyzwaniem dla prowadzonych działań jest </w:t>
      </w:r>
      <w:r w:rsidRPr="00DA11CA">
        <w:rPr>
          <w:i/>
        </w:rPr>
        <w:t>upowszechnienie technologii informacyjno-komunikacyjnych</w:t>
      </w:r>
      <w:r w:rsidRPr="00DA11CA">
        <w:t xml:space="preserve">. </w:t>
      </w:r>
    </w:p>
    <w:p w:rsidR="00424449" w:rsidRDefault="00424449" w:rsidP="00424449">
      <w:r w:rsidRPr="00DA11CA">
        <w:t>Przykładowo, w tekście wspomina się m.in. o niewystarczającej integracji baz danych oraz niewielkiej skali wykorzystania technik multimedialnych w szkołach, nie doprecyzowano jednak, jak przekłada się to na jakość usług zdrowotnych i edukacyjnych. Jest to problem o tyle istotny, że na poziomie opisu planowanej interwencji trudno jest zidentyfikować planowane działania realizujące wszystkie spodziewane efekty (co bardziej szczegółowo opisujemy poniżej). Przyjęcie takiej formuły w</w:t>
      </w:r>
      <w:r w:rsidR="006E50D0">
        <w:t> </w:t>
      </w:r>
      <w:r w:rsidRPr="00DA11CA">
        <w:t xml:space="preserve"> diagnozie nie jest zasadniczym problemem, zwłaszcza wobec jej dużej szczegółowości, większej nawet, niż wynikałoby to z zapisów planowanej interwencji w ramach opisu osi priorytetowej II. oraz pewnych niejasności na poziomie linii demarkacyjnej. Niemniej w trakcie wdrażania interwencji konieczne jest uwzględnienie problemów zidentyfikowanych w osiach priorytetowych VI i VIII, które powinny zostać rozwiązane przy pomocy technik ICT - ich rozwój nie powinien być celem samym w</w:t>
      </w:r>
      <w:r w:rsidR="006E50D0">
        <w:t> </w:t>
      </w:r>
      <w:r w:rsidRPr="00DA11CA">
        <w:t xml:space="preserve"> sobie, ale raczej wychodzić naprzeciw wyzwaniom zidentyfikowanym na poziomie branżowych.</w:t>
      </w:r>
    </w:p>
    <w:p w:rsidR="00424449" w:rsidRDefault="00424449" w:rsidP="00821189">
      <w:pPr>
        <w:pStyle w:val="Nagwek3"/>
      </w:pPr>
      <w:r>
        <w:t>Ocena logiki interwencji i proponowanych form wsparcia</w:t>
      </w:r>
    </w:p>
    <w:p w:rsidR="00424449" w:rsidRDefault="00424449" w:rsidP="00821189">
      <w:r>
        <w:t xml:space="preserve">W toku prac nad programem doszło do istotnej ewolucji logiki interwencji w ramach osi priorytetowej: zrezygnowano z bezpośredniego wdrażania PI 2.2., co jest efektem dyskusji prowadzonych w toku ewaluacji </w:t>
      </w:r>
      <w:proofErr w:type="spellStart"/>
      <w:r>
        <w:t>ex-ante</w:t>
      </w:r>
      <w:proofErr w:type="spellEnd"/>
      <w:r>
        <w:t xml:space="preserve"> w modelu partycypacyjnym. W wypracowanym w projekcie programu podejściu przedsiębiorstwa są wspierane w zakresie TIK w OP 1. w ramach priorytetów inwestycyjnych celu tematycznego 3., co jest rozwiązaniem spójnym wewnętrznie, pozwalającym także uniknąć problemów, jakie dedykowane wsparcie w zakresie projektów dotyczących TIK w</w:t>
      </w:r>
      <w:r w:rsidR="006E50D0">
        <w:t> </w:t>
      </w:r>
      <w:r>
        <w:t xml:space="preserve"> przedsiębiorstwach rodzi na poziomie wdrożeniowym.</w:t>
      </w:r>
      <w:r>
        <w:rPr>
          <w:rStyle w:val="Odwoanieprzypisudolnego"/>
        </w:rPr>
        <w:footnoteReference w:id="14"/>
      </w:r>
    </w:p>
    <w:p w:rsidR="00424449" w:rsidRDefault="00424449" w:rsidP="00821189">
      <w:r>
        <w:t xml:space="preserve">Przyjęte rozwiązanie powoduje, że oś priorytetowa koncentruje się zasadniczo na jednym problemie, tj. wzroście jakości i rozszerzeniu zakresu e-usług publicznych, co stanowi odpowiedź na wyzwanie zdefiniowane jako </w:t>
      </w:r>
      <w:r>
        <w:rPr>
          <w:i/>
        </w:rPr>
        <w:t>upowszechnienie technologii informacyjno-komunikacyjnych w województwie podkarpackim.</w:t>
      </w:r>
      <w:r>
        <w:t xml:space="preserve"> Cel szczegółowy PI 2.3 oraz przewidziane nim typy projektów wpisują się w ww. wyzwanie, chociaż wskazane kierunki interwencji pozostają na wysokim poziomie ogólności. </w:t>
      </w:r>
      <w:r>
        <w:lastRenderedPageBreak/>
        <w:t xml:space="preserve">W ramach interwencji możliwy będzie bardzo szeroki katalog działań wpisujących się w ogólnie zdefiniowane cele, co oznacza, że nie da się powiedzieć, jakich obszarów będzie dotyczyć planowana interwencja. </w:t>
      </w:r>
    </w:p>
    <w:p w:rsidR="00DF3890" w:rsidRPr="00424449" w:rsidRDefault="00DF3890" w:rsidP="00DF3890">
      <w:pPr>
        <w:pStyle w:val="Legenda"/>
        <w:keepNext/>
      </w:pPr>
      <w:r w:rsidRPr="00424449">
        <w:t xml:space="preserve">Schemat </w:t>
      </w:r>
      <w:r w:rsidR="001B04AC">
        <w:fldChar w:fldCharType="begin"/>
      </w:r>
      <w:r w:rsidR="008E1D74">
        <w:instrText xml:space="preserve"> SEQ Schemat \* ARABIC </w:instrText>
      </w:r>
      <w:r w:rsidR="001B04AC">
        <w:fldChar w:fldCharType="separate"/>
      </w:r>
      <w:r w:rsidR="00832320">
        <w:rPr>
          <w:noProof/>
        </w:rPr>
        <w:t>4</w:t>
      </w:r>
      <w:r w:rsidR="001B04AC">
        <w:rPr>
          <w:noProof/>
        </w:rPr>
        <w:fldChar w:fldCharType="end"/>
      </w:r>
      <w:r w:rsidRPr="00424449">
        <w:t>. Model logiczny osi priorytetowej II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0256"/>
      </w:tblGrid>
      <w:tr w:rsidR="00DF3890" w:rsidRPr="00424449" w:rsidTr="002B502A">
        <w:trPr>
          <w:jc w:val="center"/>
        </w:trPr>
        <w:tc>
          <w:tcPr>
            <w:tcW w:w="9286" w:type="dxa"/>
            <w:shd w:val="clear" w:color="auto" w:fill="A4BEDD" w:themeFill="accent1" w:themeFillTint="66"/>
          </w:tcPr>
          <w:p w:rsidR="00DF3890" w:rsidRPr="00424449" w:rsidRDefault="00DF3890" w:rsidP="002B502A">
            <w:pPr>
              <w:spacing w:before="120" w:after="120"/>
              <w:jc w:val="center"/>
              <w:rPr>
                <w:i/>
                <w:noProof/>
                <w:lang w:eastAsia="pl-PL"/>
              </w:rPr>
            </w:pPr>
            <w:r>
              <w:rPr>
                <w:b/>
                <w:i/>
                <w:noProof/>
                <w:sz w:val="20"/>
                <w:lang w:eastAsia="pl-PL"/>
              </w:rPr>
              <w:t>oś</w:t>
            </w:r>
            <w:r w:rsidRPr="00DF3890">
              <w:rPr>
                <w:b/>
                <w:i/>
                <w:noProof/>
                <w:sz w:val="20"/>
                <w:lang w:eastAsia="pl-PL"/>
              </w:rPr>
              <w:t xml:space="preserve"> priorytetowa II. Cyfrowe Podkarpackie</w:t>
            </w:r>
          </w:p>
        </w:tc>
      </w:tr>
      <w:tr w:rsidR="00DF3890" w:rsidRPr="00424449" w:rsidTr="002B502A">
        <w:trPr>
          <w:jc w:val="center"/>
        </w:trPr>
        <w:tc>
          <w:tcPr>
            <w:tcW w:w="9286" w:type="dxa"/>
          </w:tcPr>
          <w:p w:rsidR="00DF3890" w:rsidRPr="00424449" w:rsidRDefault="001B04AC" w:rsidP="002B502A">
            <w:pPr>
              <w:spacing w:before="240" w:after="240"/>
              <w:rPr>
                <w:i/>
              </w:rPr>
            </w:pPr>
            <w:r w:rsidRPr="001B04AC">
              <w:rPr>
                <w:noProof/>
                <w:lang w:eastAsia="pl-PL"/>
              </w:rPr>
              <w:pict>
                <v:rect id="Rectangle 316" o:spid="_x0000_s1057" style="position:absolute;left:0;text-align:left;margin-left:-.1pt;margin-top:26.55pt;width:56.65pt;height:35.15pt;z-index:25185177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" fillcolor="#8064a2" stroked="f">
                  <v:textbox>
                    <w:txbxContent>
                      <w:p w:rsidR="00832320" w:rsidRPr="00056E84" w:rsidRDefault="00832320" w:rsidP="00DF3890">
                        <w:pPr>
                          <w:jc w:val="center"/>
                          <w:rPr>
                            <w:b/>
                            <w:color w:val="FFFFFF"/>
                            <w:sz w:val="16"/>
                          </w:rPr>
                        </w:pPr>
                        <w:r w:rsidRPr="00056E84">
                          <w:rPr>
                            <w:rFonts w:eastAsia="SimSun"/>
                            <w:b/>
                            <w:color w:val="FFFFFF"/>
                            <w:sz w:val="16"/>
                          </w:rPr>
                          <w:t>wyzwanie</w:t>
                        </w:r>
                      </w:p>
                    </w:txbxContent>
                  </v:textbox>
                </v:rect>
              </w:pict>
            </w:r>
            <w:r w:rsidRPr="001B04AC">
              <w:rPr>
                <w:noProof/>
                <w:lang w:eastAsia="pl-PL"/>
              </w:rPr>
              <w:pict>
                <v:rect id="Rectangle 318" o:spid="_x0000_s1058" style="position:absolute;left:0;text-align:left;margin-left:-.1pt;margin-top:136pt;width:56.7pt;height:81.35pt;z-index:2518538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" fillcolor="#366092" stroked="f">
                  <v:textbox>
                    <w:txbxContent>
                      <w:p w:rsidR="00832320" w:rsidRDefault="00832320" w:rsidP="00DF3890">
                        <w:pPr>
                          <w:jc w:val="center"/>
                        </w:pPr>
                        <w:r>
                          <w:rPr>
                            <w:rFonts w:eastAsia="SimSun"/>
                            <w:b/>
                            <w:bCs/>
                            <w:color w:val="FCFCFC"/>
                            <w:sz w:val="16"/>
                            <w:szCs w:val="16"/>
                          </w:rPr>
                          <w:t>typy projektów</w:t>
                        </w:r>
                      </w:p>
                    </w:txbxContent>
                  </v:textbox>
                </v:rect>
              </w:pict>
            </w:r>
            <w:r w:rsidRPr="001B04AC">
              <w:rPr>
                <w:noProof/>
                <w:lang w:eastAsia="pl-PL"/>
              </w:rPr>
              <w:pict>
                <v:rect id="Rectangle 317" o:spid="_x0000_s1059" style="position:absolute;left:0;text-align:left;margin-left:-.3pt;margin-top:76.45pt;width:56.85pt;height:40.3pt;z-index:25185280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" fillcolor="#76923c" stroked="f">
                  <v:textbox>
                    <w:txbxContent>
                      <w:p w:rsidR="00832320" w:rsidRPr="00056E84" w:rsidRDefault="00832320" w:rsidP="00DF3890">
                        <w:pPr>
                          <w:jc w:val="center"/>
                          <w:rPr>
                            <w:color w:val="FFFFFF"/>
                          </w:rPr>
                        </w:pPr>
                        <w:r w:rsidRPr="00056E84">
                          <w:rPr>
                            <w:rFonts w:eastAsia="SimSun"/>
                            <w:b/>
                            <w:bCs/>
                            <w:color w:val="FFFFFF"/>
                            <w:sz w:val="16"/>
                            <w:szCs w:val="16"/>
                          </w:rPr>
                          <w:t>cel szczegółowy PI</w:t>
                        </w:r>
                      </w:p>
                    </w:txbxContent>
                  </v:textbox>
                </v:rect>
              </w:pict>
            </w:r>
            <w:r w:rsidRPr="001B04AC">
              <w:rPr>
                <w:noProof/>
                <w:lang w:eastAsia="pl-PL"/>
              </w:rPr>
            </w:r>
            <w:r w:rsidRPr="001B04AC">
              <w:rPr>
                <w:noProof/>
                <w:lang w:eastAsia="pl-PL"/>
              </w:rPr>
              <w:pict>
                <v:group id="Grupa 246" o:spid="_x0000_s1060" style="width:501.95pt;height:205.35pt;mso-position-horizontal-relative:char;mso-position-vertical-relative:line" coordsize="88159,50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">
                  <v:rect id="Prostokąt 209" o:spid="_x0000_s1061" style="position:absolute;width:87814;height:463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f6bsMA&#10;AADcAAAADwAAAGRycy9kb3ducmV2LnhtbESPT4vCMBTE74LfITxhL6KpHhapRhFBLLIgW/+cH82z&#10;LTYvtYlt99tvFhY8DjPzG2a16U0lWmpcaVnBbBqBIM6sLjlXcDnvJwsQziNrrCyTgh9ysFkPByuM&#10;te34m9rU5yJA2MWooPC+jqV0WUEG3dTWxMG728agD7LJpW6wC3BTyXkUfUqDJYeFAmvaFZQ90pdR&#10;0GWn9nb+OsjT+JZYfibPXXo9KvUx6rdLEJ56/w7/txOtIBDh70w4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f6bsMAAADcAAAADwAAAAAAAAAAAAAAAACYAgAAZHJzL2Rv&#10;d25yZXYueG1sUEsFBgAAAAAEAAQA9QAAAIgDAAAAAA==&#10;" filled="f" stroked="f"/>
                  <v:rect id="Prostokąt 210" o:spid="_x0000_s1062" style="position:absolute;left:15375;top:3567;width:72430;height:86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RZ/cUA&#10;AADcAAAADwAAAGRycy9kb3ducmV2LnhtbESPQWvCQBSE7wX/w/IEb3VjDiLRVUSohvbSqiC9PbKv&#10;2dDs22R3G9N/3y0Uehxm5htmsxttKwbyoXGsYDHPQBBXTjdcK7henh5XIEJE1tg6JgXfFGC3nTxs&#10;sNDuzm80nGMtEoRDgQpMjF0hZagMWQxz1xEn78N5izFJX0vt8Z7gtpV5li2lxYbTgsGODoaqz/OX&#10;VeBXN9OXl+djtT+c9HvzUse+e1VqNh33axCRxvgf/muXWkGeLeD3TD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Fn9xQAAANwAAAAPAAAAAAAAAAAAAAAAAJgCAABkcnMv&#10;ZG93bnJldi54bWxQSwUGAAAAAAQABAD1AAAAigMAAAAA&#10;" fillcolor="#ccc0d9" stroked="f">
                    <v:textbox>
                      <w:txbxContent>
                        <w:p w:rsidR="00832320" w:rsidRDefault="00832320" w:rsidP="00DF3890">
                          <w:pPr>
                            <w:jc w:val="center"/>
                            <w:rPr>
                              <w:b/>
                              <w:sz w:val="18"/>
                              <w:szCs w:val="18"/>
                            </w:rPr>
                          </w:pPr>
                          <w:r>
                            <w:rPr>
                              <w:b/>
                              <w:sz w:val="18"/>
                              <w:szCs w:val="18"/>
                            </w:rPr>
                            <w:t>upowszechnienie technologii informacyjno-komunikacyjnych w województwie podkarpackim</w:t>
                          </w:r>
                        </w:p>
                      </w:txbxContent>
                    </v:textbox>
                  </v:rect>
                  <v:rect id="Prostokąt 211" o:spid="_x0000_s1063" style="position:absolute;left:15335;top:16193;width:72467;height:93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rrm8UA&#10;AADcAAAADwAAAGRycy9kb3ducmV2LnhtbESPQWvCQBSE74L/YXlCb2bXHEqJWUVEwfZQWlsEb4/s&#10;Mwlm34bsNkn99d2C4HGYmW+YfD3aRvTU+dqxhkWiQBAXztRcavj+2s9fQPiAbLBxTBp+ycN6NZ3k&#10;mBk38Cf1x1CKCGGfoYYqhDaT0hcVWfSJa4mjd3GdxRBlV0rT4RDhtpGpUs/SYs1xocKWthUV1+OP&#10;1fAx7NPDqb+d3uvb5W23IXceXp3WT7NxswQRaAyP8L19MBpSlcL/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iuubxQAAANwAAAAPAAAAAAAAAAAAAAAAAJgCAABkcnMv&#10;ZG93bnJldi54bWxQSwUGAAAAAAQABAD1AAAAigMAAAAA&#10;" fillcolor="#c2d69b" stroked="f">
                    <v:textbox>
                      <w:txbxContent>
                        <w:p w:rsidR="00832320" w:rsidRDefault="00832320" w:rsidP="00DF3890">
                          <w:pPr>
                            <w:jc w:val="center"/>
                            <w:rPr>
                              <w:sz w:val="18"/>
                              <w:szCs w:val="18"/>
                            </w:rPr>
                          </w:pPr>
                          <w:r>
                            <w:rPr>
                              <w:sz w:val="18"/>
                              <w:szCs w:val="18"/>
                            </w:rPr>
                            <w:t>wzrost jakości i rozszerzenie zakresu usług publicznych świadczonych drogą elektroniczną (2.3)</w:t>
                          </w:r>
                        </w:p>
                      </w:txbxContent>
                    </v:textbox>
                  </v:rect>
                  <v:shape id="Łącznik prosty ze strzałką 212" o:spid="_x0000_s1064" type="#_x0000_t32" style="position:absolute;left:51568;top:12193;width:22;height:40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9Us8UAAADcAAAADwAAAGRycy9kb3ducmV2LnhtbESPQWvCQBSE74X+h+UVvNVNE6oS3YRa&#10;UMRLSVrvz+wzCc2+DdlV47/vCgWPw8x8w6zy0XTiQoNrLSt4m0YgiCurW64V/HxvXhcgnEfW2Fkm&#10;BTdykGfPTytMtb1yQZfS1yJA2KWooPG+T6V0VUMG3dT2xME72cGgD3KopR7wGuCmk3EUzaTBlsNC&#10;gz19NlT9lmejIJkf3fp0eI/P9T752m3tuixmhVKTl/FjCcLT6B/h//ZOK4ijBO5nwhGQ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i9Us8UAAADcAAAADwAAAAAAAAAA&#10;AAAAAAChAgAAZHJzL2Rvd25yZXYueG1sUEsFBgAAAAAEAAQA+QAAAJMDAAAAAA==&#10;" strokecolor="#335a8a">
                    <v:stroke endarrow="open"/>
                  </v:shape>
                  <v:rect id="Prostokąt 213" o:spid="_x0000_s1065" style="position:absolute;left:15293;top:30299;width:72866;height:1974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NdxsQA&#10;AADcAAAADwAAAGRycy9kb3ducmV2LnhtbESP0WrCQBRE3wv9h+UKfasbU2okukopCKJQMPoB1+w1&#10;CWbvprtrjH/vFgo+DjNzhlmsBtOKnpxvLCuYjBMQxKXVDVcKjof1+wyED8gaW8uk4E4eVsvXlwXm&#10;2t54T30RKhEh7HNUUIfQ5VL6siaDfmw74uidrTMYonSV1A5vEW5amSbJVBpsOC7U2NF3TeWluBoF&#10;6/43258ms4+fdBcuZVZ4cluv1Nto+JqDCDSEZ/i/vdEK0uQT/s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TXcbEAAAA3AAAAA8AAAAAAAAAAAAAAAAAmAIAAGRycy9k&#10;b3ducmV2LnhtbFBLBQYAAAAABAAEAPUAAACJAwAAAAA=&#10;" fillcolor="#d1deee" stroked="f">
                    <v:textbox>
                      <w:txbxContent>
                        <w:p w:rsidR="00832320" w:rsidRDefault="00832320" w:rsidP="00DF3890">
                          <w:pPr>
                            <w:spacing w:after="60"/>
                            <w:rPr>
                              <w:rFonts w:cs="Arial"/>
                              <w:sz w:val="16"/>
                              <w:szCs w:val="16"/>
                            </w:rPr>
                          </w:pPr>
                          <w:r>
                            <w:rPr>
                              <w:rFonts w:cs="Arial"/>
                              <w:sz w:val="16"/>
                              <w:szCs w:val="16"/>
                            </w:rPr>
                            <w:t xml:space="preserve">- </w:t>
                          </w:r>
                          <w:r w:rsidRPr="002A2137">
                            <w:rPr>
                              <w:rFonts w:cs="Arial"/>
                              <w:sz w:val="16"/>
                              <w:szCs w:val="16"/>
                            </w:rPr>
                            <w:t>w zakresie rozwoju e-usług publicznych oraz informatyzacji instytucji szczebla regionalnego i lokalnego m.in. poprawa funkcjonalności i dojrzałości usług  publicznych, integracja usług, rozwój infrastruktury informatycznej, wsparcie systemów elektronicznego zarządzania dokumentacją, podpisu elektronicznego, rejestrów publicznych, rozwój apli</w:t>
                          </w:r>
                          <w:r>
                            <w:rPr>
                              <w:rFonts w:cs="Arial"/>
                              <w:sz w:val="16"/>
                              <w:szCs w:val="16"/>
                            </w:rPr>
                            <w:t xml:space="preserve">kacji i systemów bazodanowych; </w:t>
                          </w:r>
                        </w:p>
                        <w:p w:rsidR="00832320" w:rsidRPr="002A2137" w:rsidRDefault="00832320" w:rsidP="00DF3890">
                          <w:pPr>
                            <w:spacing w:after="60"/>
                            <w:rPr>
                              <w:rFonts w:cs="Arial"/>
                              <w:sz w:val="16"/>
                              <w:szCs w:val="16"/>
                            </w:rPr>
                          </w:pPr>
                          <w:r>
                            <w:rPr>
                              <w:rFonts w:cs="Arial"/>
                              <w:sz w:val="16"/>
                              <w:szCs w:val="16"/>
                            </w:rPr>
                            <w:t xml:space="preserve">- </w:t>
                          </w:r>
                          <w:r w:rsidRPr="002A2137">
                            <w:rPr>
                              <w:rFonts w:cs="Arial"/>
                              <w:sz w:val="16"/>
                              <w:szCs w:val="16"/>
                            </w:rPr>
                            <w:t>w zakresie udostępniania informacji m.in. wsparcie cyfryzacji i udostępnianie zasobów, rozwój repozytoriów cyfrowych wraz z infrastrukturą dla bezpiecznego przechowywania udostępnianych zasobów.</w:t>
                          </w:r>
                        </w:p>
                      </w:txbxContent>
                    </v:textbox>
                  </v:rect>
                  <v:shape id="Łącznik prosty ze strzałką 214" o:spid="_x0000_s1066" type="#_x0000_t32" style="position:absolute;left:51569;top:25553;width:157;height:4746;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bY9MIAAADcAAAADwAAAGRycy9kb3ducmV2LnhtbESPQWsCMRSE74X+h/AK3mpSCyJbo7QF&#10;6V51PfT42Lwmi5uXJUndbX+9EQSPw8x8w6y3k+/FmWLqAmt4mSsQxG0wHVsNx2b3vAKRMrLBPjBp&#10;+KME283jwxorE0be0/mQrSgQThVqcDkPlZSpdeQxzcNAXLyfED3mIqOVJuJY4L6XC6WW0mPHZcHh&#10;QJ+O2tPh12uIZtjV5Jv/Win3ar8+7HdzGrWePU3vbyAyTfkevrVro2GhlnA9U46A3F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nbY9MIAAADcAAAADwAAAAAAAAAAAAAA&#10;AAChAgAAZHJzL2Rvd25yZXYueG1sUEsFBgAAAAAEAAQA+QAAAJADAAAAAA==&#10;" strokecolor="#335a8a">
                    <v:stroke endarrow="open"/>
                  </v:shape>
                  <w10:wrap type="none"/>
                  <w10:anchorlock/>
                </v:group>
              </w:pict>
            </w:r>
          </w:p>
        </w:tc>
      </w:tr>
    </w:tbl>
    <w:p w:rsidR="00DF3890" w:rsidRPr="00424449" w:rsidRDefault="00DF3890" w:rsidP="00DF3890">
      <w:pPr>
        <w:jc w:val="center"/>
        <w:rPr>
          <w:i/>
        </w:rPr>
      </w:pPr>
      <w:r w:rsidRPr="00424449">
        <w:rPr>
          <w:i/>
        </w:rPr>
        <w:t>Źródło: Opracowanie własne.</w:t>
      </w:r>
    </w:p>
    <w:p w:rsidR="00424449" w:rsidRDefault="00424449" w:rsidP="00821189">
      <w:pPr>
        <w:pStyle w:val="Nagwek4"/>
      </w:pPr>
      <w:r>
        <w:t xml:space="preserve">PI 2.3 </w:t>
      </w:r>
      <w:r w:rsidRPr="006D7F18">
        <w:t>Wzmocnienie zastosowań TIK dla e-administracji, e-uczenia się, e-włączenia społecznego, e-kultury i e-zdrowia</w:t>
      </w:r>
    </w:p>
    <w:p w:rsidR="00424449" w:rsidRDefault="00424449" w:rsidP="00821189">
      <w:r>
        <w:t xml:space="preserve">Ponieważ oś priorytetowa II składa się z zaledwie jednego priorytetu inwestycyjnego, powiązano cel na poziomie osi z celem szczegółowym dla PI 2.3. – został on sformułowany jako </w:t>
      </w:r>
      <w:r>
        <w:rPr>
          <w:i/>
        </w:rPr>
        <w:t xml:space="preserve">wzrost jakości i rozszerzenie zakresu usług publicznych świadczonych drogą </w:t>
      </w:r>
      <w:r w:rsidR="00DE299B">
        <w:rPr>
          <w:i/>
        </w:rPr>
        <w:t>elektroniczną</w:t>
      </w:r>
      <w:r>
        <w:rPr>
          <w:i/>
        </w:rPr>
        <w:t xml:space="preserve">. </w:t>
      </w:r>
      <w:r>
        <w:t>Jest on precyzyjny i</w:t>
      </w:r>
      <w:r w:rsidR="006E50D0">
        <w:t> </w:t>
      </w:r>
      <w:r>
        <w:t xml:space="preserve"> odpowiada planowanym działaniom.</w:t>
      </w:r>
    </w:p>
    <w:p w:rsidR="00424449" w:rsidRDefault="00424449" w:rsidP="00821189">
      <w:r>
        <w:t xml:space="preserve">Zasadniczym problemem pozostaje to, na ile planowana interwencja koresponduje z zdefiniowanymi w części diagnostycznej efektami interwencji. Efekty te mogą wprawdzie zawierać się w planowanej interwencji, ale jest to w niektórych wypadkach mało oczywiste – przede wszystkim ze względu na ogólne zdefiniowanie przykładowych typów projektów. Opis osi koncentruje się na ponownym zaakcentowaniu planowanych efektów wsparcia, natomiast niewiele miejsca poświęcono ich </w:t>
      </w:r>
      <w:proofErr w:type="spellStart"/>
      <w:r>
        <w:t>operacjonalizacji</w:t>
      </w:r>
      <w:proofErr w:type="spellEnd"/>
      <w:r>
        <w:t xml:space="preserve"> (w postaci opisu przedsięwzięć, które mają zostać objęte interwencją). Ilustrujemy to w tabeli poniżej. </w:t>
      </w:r>
    </w:p>
    <w:p w:rsidR="00424449" w:rsidRDefault="00424449" w:rsidP="00424449">
      <w:r>
        <w:br w:type="page"/>
      </w:r>
    </w:p>
    <w:p w:rsidR="00424449" w:rsidRDefault="00424449" w:rsidP="00821189">
      <w:pPr>
        <w:pStyle w:val="Legenda"/>
        <w:keepNext/>
        <w:spacing w:after="120"/>
      </w:pPr>
      <w:r>
        <w:lastRenderedPageBreak/>
        <w:t xml:space="preserve">Tabela </w:t>
      </w:r>
      <w:r w:rsidR="001B04AC">
        <w:fldChar w:fldCharType="begin"/>
      </w:r>
      <w:r w:rsidR="008E1D74">
        <w:instrText xml:space="preserve"> SEQ Tabela \* ARABIC </w:instrText>
      </w:r>
      <w:r w:rsidR="001B04AC">
        <w:fldChar w:fldCharType="separate"/>
      </w:r>
      <w:r w:rsidR="00832320">
        <w:rPr>
          <w:noProof/>
        </w:rPr>
        <w:t>9</w:t>
      </w:r>
      <w:r w:rsidR="001B04AC">
        <w:rPr>
          <w:noProof/>
        </w:rPr>
        <w:fldChar w:fldCharType="end"/>
      </w:r>
      <w:r>
        <w:t>. Oś priorytetowa II – przełożenie spodziewanych efektów na opis planowanej interwencji</w:t>
      </w:r>
    </w:p>
    <w:tbl>
      <w:tblPr>
        <w:tblStyle w:val="Jasnalista10"/>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tblPr>
      <w:tblGrid>
        <w:gridCol w:w="4928"/>
        <w:gridCol w:w="4284"/>
      </w:tblGrid>
      <w:tr w:rsidR="00424449" w:rsidRPr="00282CBD" w:rsidTr="00424449">
        <w:trPr>
          <w:cnfStyle w:val="100000000000"/>
          <w:trHeight w:val="287"/>
        </w:trPr>
        <w:tc>
          <w:tcPr>
            <w:cnfStyle w:val="001000000000"/>
            <w:tcW w:w="4928" w:type="dxa"/>
            <w:shd w:val="clear" w:color="auto" w:fill="366092" w:themeFill="accent1"/>
          </w:tcPr>
          <w:p w:rsidR="00424449" w:rsidRPr="00282CBD" w:rsidRDefault="00424449" w:rsidP="00424449">
            <w:pPr>
              <w:spacing w:before="60" w:after="60"/>
              <w:jc w:val="center"/>
              <w:rPr>
                <w:rFonts w:ascii="Calibri" w:eastAsia="Calibri" w:hAnsi="Calibri"/>
                <w:sz w:val="20"/>
                <w:szCs w:val="20"/>
              </w:rPr>
            </w:pPr>
            <w:r w:rsidRPr="00282CBD">
              <w:rPr>
                <w:rFonts w:ascii="Calibri" w:eastAsia="Calibri" w:hAnsi="Calibri"/>
                <w:sz w:val="20"/>
                <w:szCs w:val="20"/>
              </w:rPr>
              <w:t>Spodziewane efekty wg diagnozy</w:t>
            </w:r>
          </w:p>
        </w:tc>
        <w:tc>
          <w:tcPr>
            <w:tcW w:w="4284" w:type="dxa"/>
            <w:shd w:val="clear" w:color="auto" w:fill="366092" w:themeFill="accent1"/>
          </w:tcPr>
          <w:p w:rsidR="00424449" w:rsidRPr="00282CBD" w:rsidRDefault="00424449" w:rsidP="00424449">
            <w:pPr>
              <w:spacing w:before="60" w:after="60"/>
              <w:jc w:val="center"/>
              <w:cnfStyle w:val="100000000000"/>
              <w:rPr>
                <w:rFonts w:ascii="Calibri" w:eastAsia="Calibri" w:hAnsi="Calibri"/>
                <w:sz w:val="20"/>
                <w:szCs w:val="20"/>
              </w:rPr>
            </w:pPr>
            <w:r w:rsidRPr="00282CBD">
              <w:rPr>
                <w:rFonts w:ascii="Calibri" w:eastAsia="Calibri" w:hAnsi="Calibri"/>
                <w:sz w:val="20"/>
                <w:szCs w:val="20"/>
              </w:rPr>
              <w:t>Odzwierciedlenie w opisie OP II.</w:t>
            </w:r>
          </w:p>
        </w:tc>
      </w:tr>
      <w:tr w:rsidR="00424449" w:rsidRPr="00282CBD" w:rsidTr="00424449">
        <w:trPr>
          <w:cnfStyle w:val="000000100000"/>
          <w:trHeight w:val="854"/>
        </w:trPr>
        <w:tc>
          <w:tcPr>
            <w:cnfStyle w:val="001000000000"/>
            <w:tcW w:w="4928" w:type="dxa"/>
            <w:tcBorders>
              <w:top w:val="none" w:sz="0" w:space="0" w:color="auto"/>
              <w:left w:val="none" w:sz="0" w:space="0" w:color="auto"/>
              <w:bottom w:val="none" w:sz="0" w:space="0" w:color="auto"/>
            </w:tcBorders>
            <w:vAlign w:val="center"/>
          </w:tcPr>
          <w:p w:rsidR="00424449" w:rsidRPr="00282CBD" w:rsidRDefault="00424449" w:rsidP="00424449">
            <w:pPr>
              <w:spacing w:before="60" w:after="60"/>
              <w:jc w:val="left"/>
              <w:rPr>
                <w:rFonts w:ascii="Calibri" w:eastAsia="Calibri" w:hAnsi="Calibri"/>
                <w:b w:val="0"/>
                <w:sz w:val="20"/>
                <w:szCs w:val="20"/>
              </w:rPr>
            </w:pPr>
            <w:r w:rsidRPr="00282CBD">
              <w:rPr>
                <w:rFonts w:ascii="Calibri" w:eastAsia="Calibri" w:hAnsi="Calibri"/>
                <w:b w:val="0"/>
                <w:sz w:val="20"/>
                <w:szCs w:val="20"/>
              </w:rPr>
              <w:t>Zmniejszenie barier w dostępie do administracji poprzez zwiększenie ilości spraw możliwych do załatwienia drogą elektroniczną.</w:t>
            </w:r>
          </w:p>
        </w:tc>
        <w:tc>
          <w:tcPr>
            <w:tcW w:w="4284" w:type="dxa"/>
            <w:vMerge w:val="restart"/>
            <w:tcBorders>
              <w:top w:val="none" w:sz="0" w:space="0" w:color="auto"/>
              <w:bottom w:val="none" w:sz="0" w:space="0" w:color="auto"/>
              <w:right w:val="none" w:sz="0" w:space="0" w:color="auto"/>
            </w:tcBorders>
          </w:tcPr>
          <w:p w:rsidR="00424449" w:rsidRPr="00282CBD" w:rsidRDefault="00424449" w:rsidP="00424449">
            <w:pPr>
              <w:spacing w:before="60" w:after="60"/>
              <w:cnfStyle w:val="000000100000"/>
              <w:rPr>
                <w:rFonts w:ascii="Calibri" w:eastAsia="Calibri" w:hAnsi="Calibri"/>
                <w:sz w:val="20"/>
                <w:szCs w:val="20"/>
              </w:rPr>
            </w:pPr>
            <w:r w:rsidRPr="00282CBD">
              <w:rPr>
                <w:rFonts w:ascii="Calibri" w:eastAsia="Calibri" w:hAnsi="Calibri"/>
                <w:sz w:val="20"/>
                <w:szCs w:val="20"/>
              </w:rPr>
              <w:t xml:space="preserve">W ramach priorytetu przewiduje się działania polegające na rozwijaniu e-usług publicznych, wsparciu informatyzacji instytucji szczebla regionalnego i lokalnego, udostępnianiu informacji sektora publicznego oraz cyfryzacji zasobów, m.in. w obszarach ochrony zdrowia, kultury, dziedzictwa kulturowego, turystyki, edukacji i nauki, informacji przestrzennej oraz administracji. </w:t>
            </w:r>
          </w:p>
          <w:p w:rsidR="00424449" w:rsidRPr="00282CBD" w:rsidRDefault="00424449" w:rsidP="00424449">
            <w:pPr>
              <w:spacing w:before="60" w:after="60"/>
              <w:cnfStyle w:val="000000100000"/>
              <w:rPr>
                <w:rFonts w:ascii="Calibri" w:eastAsia="Calibri" w:hAnsi="Calibri"/>
                <w:sz w:val="20"/>
                <w:szCs w:val="20"/>
              </w:rPr>
            </w:pPr>
            <w:r w:rsidRPr="00282CBD">
              <w:rPr>
                <w:rFonts w:ascii="Calibri" w:eastAsia="Calibri" w:hAnsi="Calibri"/>
                <w:sz w:val="20"/>
                <w:szCs w:val="20"/>
              </w:rPr>
              <w:t>Przykładowe typy projektów:</w:t>
            </w:r>
          </w:p>
          <w:p w:rsidR="00424449" w:rsidRPr="00282CBD" w:rsidRDefault="00424449" w:rsidP="000965A8">
            <w:pPr>
              <w:pStyle w:val="Akapitzlist"/>
              <w:numPr>
                <w:ilvl w:val="0"/>
                <w:numId w:val="26"/>
              </w:numPr>
              <w:spacing w:before="60" w:after="60"/>
              <w:ind w:left="459"/>
              <w:cnfStyle w:val="000000100000"/>
              <w:rPr>
                <w:rFonts w:ascii="Calibri" w:eastAsia="Calibri" w:hAnsi="Calibri"/>
                <w:sz w:val="20"/>
                <w:szCs w:val="20"/>
              </w:rPr>
            </w:pPr>
            <w:r w:rsidRPr="00282CBD">
              <w:rPr>
                <w:rFonts w:ascii="Calibri" w:eastAsia="Calibri" w:hAnsi="Calibri"/>
                <w:sz w:val="20"/>
                <w:szCs w:val="20"/>
              </w:rPr>
              <w:t>w zakresie rozwoju e-usług publicznych oraz informatyzacji instytucji szczebla regionalnego i lokalnego m.in. poprawa funkcjonalności i dojrzałości usług  publicznych, integracja usług, rozwój infrastruktury informatycznej, wsparcie systemów elektronicznego zarządzania dokumentacją, podpisu elektronicznego, rejestrów publicznych, rozwój aplikacji i systemów bazodanowych</w:t>
            </w:r>
          </w:p>
          <w:p w:rsidR="00424449" w:rsidRPr="00282CBD" w:rsidRDefault="00424449" w:rsidP="000965A8">
            <w:pPr>
              <w:pStyle w:val="Akapitzlist"/>
              <w:numPr>
                <w:ilvl w:val="0"/>
                <w:numId w:val="26"/>
              </w:numPr>
              <w:spacing w:before="60" w:after="60"/>
              <w:ind w:left="459"/>
              <w:cnfStyle w:val="000000100000"/>
              <w:rPr>
                <w:rFonts w:ascii="Calibri" w:eastAsia="Calibri" w:hAnsi="Calibri"/>
                <w:sz w:val="20"/>
                <w:szCs w:val="20"/>
              </w:rPr>
            </w:pPr>
            <w:r w:rsidRPr="00282CBD">
              <w:rPr>
                <w:rFonts w:ascii="Calibri" w:eastAsia="Calibri" w:hAnsi="Calibri"/>
                <w:sz w:val="20"/>
                <w:szCs w:val="20"/>
              </w:rPr>
              <w:t>w zakresie udostępniania informacji m.in. wsparcie cyfryzacji i udostępnianie zasobów, rozwój repozytoriów cyfrowych wraz z infrastrukturą dla bezpiecznego przechowywania udostępnianych zasobów.</w:t>
            </w:r>
          </w:p>
        </w:tc>
      </w:tr>
      <w:tr w:rsidR="00424449" w:rsidRPr="00282CBD" w:rsidTr="00424449">
        <w:trPr>
          <w:trHeight w:val="828"/>
        </w:trPr>
        <w:tc>
          <w:tcPr>
            <w:cnfStyle w:val="001000000000"/>
            <w:tcW w:w="4928" w:type="dxa"/>
            <w:vAlign w:val="center"/>
          </w:tcPr>
          <w:p w:rsidR="00424449" w:rsidRPr="00282CBD" w:rsidRDefault="00424449" w:rsidP="00424449">
            <w:pPr>
              <w:spacing w:before="60" w:after="60"/>
              <w:jc w:val="left"/>
              <w:rPr>
                <w:rFonts w:ascii="Calibri" w:eastAsia="Calibri" w:hAnsi="Calibri"/>
                <w:b w:val="0"/>
                <w:sz w:val="20"/>
                <w:szCs w:val="20"/>
              </w:rPr>
            </w:pPr>
            <w:r w:rsidRPr="00282CBD">
              <w:rPr>
                <w:rFonts w:ascii="Calibri" w:eastAsia="Calibri" w:hAnsi="Calibri"/>
                <w:b w:val="0"/>
                <w:sz w:val="20"/>
                <w:szCs w:val="20"/>
              </w:rPr>
              <w:t xml:space="preserve">Ułatwienie dostępu do informacji publicznej oraz zwiększenie zakresu zasobów udostępnianych w technologii cyfrowej. </w:t>
            </w:r>
          </w:p>
        </w:tc>
        <w:tc>
          <w:tcPr>
            <w:tcW w:w="4284" w:type="dxa"/>
            <w:vMerge/>
          </w:tcPr>
          <w:p w:rsidR="00424449" w:rsidRPr="00282CBD" w:rsidRDefault="00424449" w:rsidP="00424449">
            <w:pPr>
              <w:spacing w:before="60" w:after="60"/>
              <w:cnfStyle w:val="000000000000"/>
              <w:rPr>
                <w:rFonts w:ascii="Calibri" w:eastAsia="Calibri" w:hAnsi="Calibri"/>
                <w:sz w:val="20"/>
                <w:szCs w:val="20"/>
              </w:rPr>
            </w:pPr>
          </w:p>
        </w:tc>
      </w:tr>
      <w:tr w:rsidR="00424449" w:rsidRPr="00282CBD" w:rsidTr="00424449">
        <w:trPr>
          <w:cnfStyle w:val="000000100000"/>
          <w:trHeight w:val="1531"/>
        </w:trPr>
        <w:tc>
          <w:tcPr>
            <w:cnfStyle w:val="001000000000"/>
            <w:tcW w:w="4928" w:type="dxa"/>
            <w:tcBorders>
              <w:top w:val="none" w:sz="0" w:space="0" w:color="auto"/>
              <w:left w:val="none" w:sz="0" w:space="0" w:color="auto"/>
              <w:bottom w:val="none" w:sz="0" w:space="0" w:color="auto"/>
            </w:tcBorders>
            <w:vAlign w:val="center"/>
          </w:tcPr>
          <w:p w:rsidR="00424449" w:rsidRPr="00282CBD" w:rsidRDefault="00424449" w:rsidP="00424449">
            <w:pPr>
              <w:spacing w:before="60" w:after="60"/>
              <w:jc w:val="left"/>
              <w:rPr>
                <w:rFonts w:ascii="Calibri" w:eastAsia="Calibri" w:hAnsi="Calibri"/>
                <w:b w:val="0"/>
                <w:sz w:val="20"/>
                <w:szCs w:val="20"/>
              </w:rPr>
            </w:pPr>
            <w:r w:rsidRPr="00282CBD">
              <w:rPr>
                <w:rFonts w:ascii="Calibri" w:eastAsia="Calibri" w:hAnsi="Calibri"/>
                <w:b w:val="0"/>
                <w:sz w:val="20"/>
                <w:szCs w:val="20"/>
              </w:rPr>
              <w:t>Usprawnienie zarządzania przestrzenią, rozwój usług przestrzennych oraz ułatwienie dostępu do danych przestrzennych dzięki rozwojowi systemów informacji przestrzennej.</w:t>
            </w:r>
          </w:p>
        </w:tc>
        <w:tc>
          <w:tcPr>
            <w:tcW w:w="4284" w:type="dxa"/>
            <w:vMerge/>
            <w:tcBorders>
              <w:top w:val="none" w:sz="0" w:space="0" w:color="auto"/>
              <w:bottom w:val="none" w:sz="0" w:space="0" w:color="auto"/>
              <w:right w:val="none" w:sz="0" w:space="0" w:color="auto"/>
            </w:tcBorders>
          </w:tcPr>
          <w:p w:rsidR="00424449" w:rsidRPr="00282CBD" w:rsidRDefault="00424449" w:rsidP="00424449">
            <w:pPr>
              <w:spacing w:before="60" w:after="60"/>
              <w:cnfStyle w:val="000000100000"/>
              <w:rPr>
                <w:rFonts w:ascii="Calibri" w:eastAsia="Calibri" w:hAnsi="Calibri"/>
                <w:sz w:val="20"/>
                <w:szCs w:val="20"/>
              </w:rPr>
            </w:pPr>
          </w:p>
        </w:tc>
      </w:tr>
      <w:tr w:rsidR="00424449" w:rsidRPr="00282CBD" w:rsidTr="00424449">
        <w:trPr>
          <w:trHeight w:val="1121"/>
        </w:trPr>
        <w:tc>
          <w:tcPr>
            <w:cnfStyle w:val="001000000000"/>
            <w:tcW w:w="4928" w:type="dxa"/>
            <w:vAlign w:val="center"/>
          </w:tcPr>
          <w:p w:rsidR="00424449" w:rsidRPr="00282CBD" w:rsidRDefault="00424449" w:rsidP="00424449">
            <w:pPr>
              <w:spacing w:before="60" w:after="60"/>
              <w:jc w:val="left"/>
              <w:rPr>
                <w:rFonts w:ascii="Calibri" w:eastAsia="Calibri" w:hAnsi="Calibri"/>
                <w:b w:val="0"/>
                <w:sz w:val="20"/>
                <w:szCs w:val="20"/>
              </w:rPr>
            </w:pPr>
            <w:r w:rsidRPr="00282CBD">
              <w:rPr>
                <w:rFonts w:ascii="Calibri" w:eastAsia="Calibri" w:hAnsi="Calibri"/>
                <w:b w:val="0"/>
                <w:sz w:val="20"/>
                <w:szCs w:val="20"/>
              </w:rPr>
              <w:t>Zwiększenie wykorzystania technik informacyjno - komunikacyjnych w procesach edukacji.</w:t>
            </w:r>
          </w:p>
        </w:tc>
        <w:tc>
          <w:tcPr>
            <w:tcW w:w="4284" w:type="dxa"/>
            <w:vMerge/>
          </w:tcPr>
          <w:p w:rsidR="00424449" w:rsidRPr="00282CBD" w:rsidRDefault="00424449" w:rsidP="00424449">
            <w:pPr>
              <w:spacing w:before="60" w:after="60"/>
              <w:cnfStyle w:val="000000000000"/>
              <w:rPr>
                <w:rFonts w:ascii="Calibri" w:eastAsia="Calibri" w:hAnsi="Calibri"/>
                <w:sz w:val="20"/>
                <w:szCs w:val="20"/>
              </w:rPr>
            </w:pPr>
          </w:p>
        </w:tc>
      </w:tr>
      <w:tr w:rsidR="00424449" w:rsidRPr="00282CBD" w:rsidTr="00424449">
        <w:trPr>
          <w:cnfStyle w:val="000000100000"/>
          <w:trHeight w:val="1315"/>
        </w:trPr>
        <w:tc>
          <w:tcPr>
            <w:cnfStyle w:val="001000000000"/>
            <w:tcW w:w="4928" w:type="dxa"/>
            <w:tcBorders>
              <w:top w:val="none" w:sz="0" w:space="0" w:color="auto"/>
              <w:left w:val="none" w:sz="0" w:space="0" w:color="auto"/>
              <w:bottom w:val="none" w:sz="0" w:space="0" w:color="auto"/>
            </w:tcBorders>
            <w:vAlign w:val="center"/>
          </w:tcPr>
          <w:p w:rsidR="00424449" w:rsidRPr="00282CBD" w:rsidRDefault="00424449" w:rsidP="00424449">
            <w:pPr>
              <w:spacing w:before="60" w:after="60"/>
              <w:jc w:val="left"/>
              <w:rPr>
                <w:rFonts w:ascii="Calibri" w:eastAsia="Calibri" w:hAnsi="Calibri"/>
                <w:b w:val="0"/>
                <w:sz w:val="20"/>
                <w:szCs w:val="20"/>
              </w:rPr>
            </w:pPr>
            <w:r w:rsidRPr="00282CBD">
              <w:rPr>
                <w:rFonts w:ascii="Calibri" w:eastAsia="Calibri" w:hAnsi="Calibri"/>
                <w:b w:val="0"/>
                <w:sz w:val="20"/>
                <w:szCs w:val="20"/>
              </w:rPr>
              <w:t>Poprawa stanu informatyzacji oraz poszerzenie zakresu usług ochrony zdrowia.</w:t>
            </w:r>
          </w:p>
        </w:tc>
        <w:tc>
          <w:tcPr>
            <w:tcW w:w="4284" w:type="dxa"/>
            <w:vMerge/>
            <w:tcBorders>
              <w:top w:val="none" w:sz="0" w:space="0" w:color="auto"/>
              <w:bottom w:val="none" w:sz="0" w:space="0" w:color="auto"/>
              <w:right w:val="none" w:sz="0" w:space="0" w:color="auto"/>
            </w:tcBorders>
          </w:tcPr>
          <w:p w:rsidR="00424449" w:rsidRPr="00282CBD" w:rsidRDefault="00424449" w:rsidP="00424449">
            <w:pPr>
              <w:spacing w:before="60" w:after="60"/>
              <w:cnfStyle w:val="000000100000"/>
              <w:rPr>
                <w:rFonts w:ascii="Calibri" w:eastAsia="Calibri" w:hAnsi="Calibri"/>
                <w:sz w:val="20"/>
                <w:szCs w:val="20"/>
              </w:rPr>
            </w:pPr>
          </w:p>
        </w:tc>
      </w:tr>
      <w:tr w:rsidR="00424449" w:rsidRPr="00282CBD" w:rsidTr="00424449">
        <w:tc>
          <w:tcPr>
            <w:cnfStyle w:val="001000000000"/>
            <w:tcW w:w="4928" w:type="dxa"/>
            <w:vAlign w:val="center"/>
          </w:tcPr>
          <w:p w:rsidR="00424449" w:rsidRPr="00282CBD" w:rsidRDefault="00424449" w:rsidP="00424449">
            <w:pPr>
              <w:spacing w:before="60" w:after="60"/>
              <w:jc w:val="left"/>
              <w:rPr>
                <w:b w:val="0"/>
                <w:sz w:val="20"/>
                <w:szCs w:val="20"/>
              </w:rPr>
            </w:pPr>
            <w:r w:rsidRPr="00282CBD">
              <w:rPr>
                <w:rFonts w:ascii="Calibri" w:eastAsia="Calibri" w:hAnsi="Calibri"/>
                <w:b w:val="0"/>
                <w:sz w:val="20"/>
                <w:szCs w:val="20"/>
              </w:rPr>
              <w:t>Poprawa jakości oraz zwiększenie zakresu zasobów wiedzy i kultury dostępnej w formie cyfrowej.</w:t>
            </w:r>
          </w:p>
        </w:tc>
        <w:tc>
          <w:tcPr>
            <w:tcW w:w="4284" w:type="dxa"/>
            <w:vMerge/>
          </w:tcPr>
          <w:p w:rsidR="00424449" w:rsidRPr="00282CBD" w:rsidRDefault="00424449" w:rsidP="00424449">
            <w:pPr>
              <w:spacing w:before="60" w:after="60"/>
              <w:cnfStyle w:val="000000000000"/>
              <w:rPr>
                <w:rFonts w:ascii="Calibri" w:eastAsia="Calibri" w:hAnsi="Calibri"/>
                <w:sz w:val="20"/>
                <w:szCs w:val="20"/>
              </w:rPr>
            </w:pPr>
          </w:p>
        </w:tc>
      </w:tr>
    </w:tbl>
    <w:p w:rsidR="00424449" w:rsidRDefault="00424449" w:rsidP="00821189">
      <w:pPr>
        <w:rPr>
          <w:rFonts w:ascii="Calibri" w:eastAsia="Calibri" w:hAnsi="Calibri"/>
        </w:rPr>
      </w:pPr>
    </w:p>
    <w:p w:rsidR="00424449" w:rsidRDefault="00424449" w:rsidP="00821189">
      <w:pPr>
        <w:rPr>
          <w:rFonts w:ascii="Calibri" w:eastAsia="Calibri" w:hAnsi="Calibri"/>
        </w:rPr>
      </w:pPr>
      <w:r>
        <w:rPr>
          <w:rFonts w:ascii="Calibri" w:eastAsia="Calibri" w:hAnsi="Calibri"/>
        </w:rPr>
        <w:t>Na bazie dostępnych informacji trudno dokonać ostatecznej oceny osi priorytetowej. Niewątpliwie planowane efekty są pożądane, zasadne, wpisują się w przedstawioną diagnozę oraz w zakres interwencji możliwy do realizacji w ramach PI 2.3. Jednocześnie na poziom uszczegółowienia przesunięto decyzje co do faktycznego zakresu interwencji i jej koncentracji. Nie musi to być jednak zasadniczym zastrzeżeniem ze względu na następujące czynniki:</w:t>
      </w:r>
    </w:p>
    <w:p w:rsidR="00424449" w:rsidRDefault="00424449" w:rsidP="000965A8">
      <w:pPr>
        <w:pStyle w:val="Akapitzlist"/>
        <w:numPr>
          <w:ilvl w:val="0"/>
          <w:numId w:val="29"/>
        </w:numPr>
        <w:rPr>
          <w:rFonts w:ascii="Calibri" w:eastAsia="Calibri" w:hAnsi="Calibri"/>
        </w:rPr>
      </w:pPr>
      <w:r>
        <w:rPr>
          <w:rFonts w:ascii="Calibri" w:eastAsia="Calibri" w:hAnsi="Calibri"/>
        </w:rPr>
        <w:t>konieczność koordynacji interwencji na poziomie poszczególnych projektów z innymi działaniami poziomu krajowego i regionalnego, wynikającymi z dążenia do wykorzystania pojawiających się możliwości (informatyzacja zasobów i systemów poziomu krajowego) i</w:t>
      </w:r>
      <w:r w:rsidR="006E50D0">
        <w:rPr>
          <w:rFonts w:ascii="Calibri" w:eastAsia="Calibri" w:hAnsi="Calibri"/>
        </w:rPr>
        <w:t> </w:t>
      </w:r>
      <w:r>
        <w:rPr>
          <w:rFonts w:ascii="Calibri" w:eastAsia="Calibri" w:hAnsi="Calibri"/>
        </w:rPr>
        <w:t xml:space="preserve"> zapewnienia spójności i </w:t>
      </w:r>
      <w:proofErr w:type="spellStart"/>
      <w:r>
        <w:rPr>
          <w:rFonts w:ascii="Calibri" w:eastAsia="Calibri" w:hAnsi="Calibri"/>
        </w:rPr>
        <w:t>interoperacyjności</w:t>
      </w:r>
      <w:proofErr w:type="spellEnd"/>
      <w:r>
        <w:rPr>
          <w:rFonts w:ascii="Calibri" w:eastAsia="Calibri" w:hAnsi="Calibri"/>
        </w:rPr>
        <w:t xml:space="preserve"> podejmowanych działań – podkreślenie wagi tych zagadnień jest dużą zaletą proponowanego w </w:t>
      </w:r>
      <w:r w:rsidR="00C41D54">
        <w:rPr>
          <w:rFonts w:ascii="Calibri" w:eastAsia="Calibri" w:hAnsi="Calibri"/>
        </w:rPr>
        <w:t>osi</w:t>
      </w:r>
      <w:r>
        <w:rPr>
          <w:rFonts w:ascii="Calibri" w:eastAsia="Calibri" w:hAnsi="Calibri"/>
        </w:rPr>
        <w:t xml:space="preserve"> </w:t>
      </w:r>
      <w:r w:rsidR="00C41D54">
        <w:rPr>
          <w:rFonts w:ascii="Calibri" w:eastAsia="Calibri" w:hAnsi="Calibri"/>
        </w:rPr>
        <w:t>priorytetowej</w:t>
      </w:r>
      <w:r>
        <w:rPr>
          <w:rFonts w:ascii="Calibri" w:eastAsia="Calibri" w:hAnsi="Calibri"/>
        </w:rPr>
        <w:t xml:space="preserve"> podejścia;</w:t>
      </w:r>
    </w:p>
    <w:p w:rsidR="00424449" w:rsidRPr="00282CBD" w:rsidRDefault="00424449" w:rsidP="000965A8">
      <w:pPr>
        <w:pStyle w:val="Akapitzlist"/>
        <w:numPr>
          <w:ilvl w:val="0"/>
          <w:numId w:val="29"/>
        </w:numPr>
        <w:rPr>
          <w:rFonts w:ascii="Calibri" w:eastAsia="Calibri" w:hAnsi="Calibri"/>
        </w:rPr>
      </w:pPr>
      <w:r>
        <w:rPr>
          <w:rFonts w:ascii="Calibri" w:eastAsia="Calibri" w:hAnsi="Calibri"/>
        </w:rPr>
        <w:t>szybkich zmian zachodzących w technologiach ICT, powodujących, że planowanie w niemal dziesięcioletnim horyzoncie programu jest bardzo utrudnione.</w:t>
      </w:r>
    </w:p>
    <w:p w:rsidR="00DF3890" w:rsidRDefault="00DF3890">
      <w:pPr>
        <w:jc w:val="left"/>
        <w:rPr>
          <w:rFonts w:asciiTheme="majorHAnsi" w:eastAsiaTheme="majorEastAsia" w:hAnsiTheme="majorHAnsi" w:cstheme="majorBidi"/>
          <w:b/>
          <w:bCs/>
          <w:color w:val="366092" w:themeColor="accent1"/>
        </w:rPr>
      </w:pPr>
      <w:r>
        <w:br w:type="page"/>
      </w:r>
    </w:p>
    <w:p w:rsidR="00424449" w:rsidRDefault="00424449" w:rsidP="00821189">
      <w:pPr>
        <w:pStyle w:val="Nagwek3"/>
      </w:pPr>
      <w:r>
        <w:lastRenderedPageBreak/>
        <w:t>Ocena wskaźników</w:t>
      </w:r>
    </w:p>
    <w:p w:rsidR="00424449" w:rsidRDefault="00424449" w:rsidP="00821189">
      <w:pPr>
        <w:pStyle w:val="Nagwek4"/>
      </w:pPr>
      <w:r>
        <w:t xml:space="preserve">Wskaźniki rezultatu </w:t>
      </w:r>
    </w:p>
    <w:p w:rsidR="00424449" w:rsidRDefault="00424449" w:rsidP="00821189">
      <w:r>
        <w:t xml:space="preserve">Wskaźniki rezultatu strategicznego korespondują z proponowaną interwencją i są prawidłowe. </w:t>
      </w:r>
    </w:p>
    <w:p w:rsidR="00424449" w:rsidRDefault="00424449" w:rsidP="0082118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10</w:t>
      </w:r>
      <w:r w:rsidR="001B04AC">
        <w:rPr>
          <w:noProof/>
        </w:rPr>
        <w:fldChar w:fldCharType="end"/>
      </w:r>
      <w:r>
        <w:t>. Oś priorytetowa II – ocena wskaźników rezultatu</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2805"/>
        <w:gridCol w:w="1449"/>
        <w:gridCol w:w="2699"/>
        <w:gridCol w:w="2333"/>
      </w:tblGrid>
      <w:tr w:rsidR="00424449" w:rsidTr="00821189">
        <w:tc>
          <w:tcPr>
            <w:tcW w:w="280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120" w:after="120"/>
              <w:jc w:val="center"/>
              <w:rPr>
                <w:rFonts w:ascii="Calibri" w:eastAsia="Calibri" w:hAnsi="Calibri" w:cs="Times New Roman"/>
                <w:b/>
                <w:color w:val="FFFFFF" w:themeColor="background1"/>
                <w:sz w:val="20"/>
              </w:rPr>
            </w:pPr>
            <w:r>
              <w:rPr>
                <w:b/>
                <w:color w:val="FFFFFF" w:themeColor="background1"/>
                <w:sz w:val="20"/>
              </w:rPr>
              <w:t>wskaźnik rezultatu</w:t>
            </w:r>
          </w:p>
        </w:tc>
        <w:tc>
          <w:tcPr>
            <w:tcW w:w="1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120" w:after="120"/>
              <w:jc w:val="center"/>
              <w:rPr>
                <w:rFonts w:ascii="Calibri" w:eastAsia="Calibri" w:hAnsi="Calibri" w:cs="Times New Roman"/>
                <w:b/>
                <w:color w:val="FFFFFF" w:themeColor="background1"/>
                <w:sz w:val="20"/>
              </w:rPr>
            </w:pPr>
            <w:r>
              <w:rPr>
                <w:b/>
                <w:color w:val="FFFFFF" w:themeColor="background1"/>
                <w:sz w:val="20"/>
              </w:rPr>
              <w:t>priorytety inwestycyjne</w:t>
            </w:r>
          </w:p>
        </w:tc>
        <w:tc>
          <w:tcPr>
            <w:tcW w:w="270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120" w:after="120"/>
              <w:jc w:val="center"/>
              <w:rPr>
                <w:rFonts w:ascii="Calibri" w:eastAsia="Calibri" w:hAnsi="Calibri" w:cs="Times New Roman"/>
                <w:b/>
                <w:color w:val="FFFFFF" w:themeColor="background1"/>
                <w:sz w:val="20"/>
              </w:rPr>
            </w:pPr>
            <w:r>
              <w:rPr>
                <w:b/>
                <w:color w:val="FFFFFF" w:themeColor="background1"/>
                <w:sz w:val="20"/>
              </w:rPr>
              <w:t>ocena doboru wskaźnika</w:t>
            </w:r>
          </w:p>
        </w:tc>
        <w:tc>
          <w:tcPr>
            <w:tcW w:w="23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821189">
            <w:pPr>
              <w:spacing w:before="120" w:after="120"/>
              <w:jc w:val="center"/>
              <w:rPr>
                <w:b/>
                <w:color w:val="FFFFFF" w:themeColor="background1"/>
                <w:sz w:val="20"/>
              </w:rPr>
            </w:pPr>
            <w:r>
              <w:rPr>
                <w:b/>
                <w:color w:val="FFFFFF" w:themeColor="background1"/>
                <w:sz w:val="20"/>
              </w:rPr>
              <w:t>ocena oszacowania</w:t>
            </w:r>
          </w:p>
        </w:tc>
      </w:tr>
      <w:tr w:rsidR="00424449" w:rsidTr="00821189">
        <w:tc>
          <w:tcPr>
            <w:tcW w:w="280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821189">
            <w:pPr>
              <w:spacing w:before="120" w:after="120"/>
              <w:jc w:val="center"/>
              <w:rPr>
                <w:rFonts w:eastAsia="Calibri" w:cs="Times New Roman"/>
                <w:i/>
                <w:sz w:val="20"/>
                <w:szCs w:val="20"/>
              </w:rPr>
            </w:pPr>
            <w:r>
              <w:rPr>
                <w:i/>
                <w:sz w:val="20"/>
                <w:szCs w:val="20"/>
              </w:rPr>
              <w:t xml:space="preserve">Odsetek osób korzystających z </w:t>
            </w:r>
            <w:proofErr w:type="spellStart"/>
            <w:r>
              <w:rPr>
                <w:i/>
                <w:sz w:val="20"/>
                <w:szCs w:val="20"/>
              </w:rPr>
              <w:t>internetu</w:t>
            </w:r>
            <w:proofErr w:type="spellEnd"/>
            <w:r>
              <w:rPr>
                <w:i/>
                <w:sz w:val="20"/>
                <w:szCs w:val="20"/>
              </w:rPr>
              <w:t xml:space="preserve"> w kontaktach z administracją publiczną</w:t>
            </w:r>
          </w:p>
        </w:tc>
        <w:tc>
          <w:tcPr>
            <w:tcW w:w="1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821189">
            <w:pPr>
              <w:spacing w:before="120" w:after="120"/>
              <w:jc w:val="center"/>
              <w:rPr>
                <w:rFonts w:ascii="Calibri" w:eastAsia="Calibri" w:hAnsi="Calibri" w:cs="Times New Roman"/>
                <w:sz w:val="20"/>
              </w:rPr>
            </w:pPr>
            <w:r>
              <w:rPr>
                <w:sz w:val="20"/>
              </w:rPr>
              <w:t>2.3</w:t>
            </w:r>
          </w:p>
        </w:tc>
        <w:tc>
          <w:tcPr>
            <w:tcW w:w="270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821189">
            <w:pPr>
              <w:spacing w:before="120" w:after="120"/>
              <w:jc w:val="center"/>
              <w:rPr>
                <w:rFonts w:ascii="Calibri" w:eastAsia="Calibri" w:hAnsi="Calibri" w:cs="Times New Roman"/>
                <w:sz w:val="20"/>
              </w:rPr>
            </w:pPr>
            <w:r>
              <w:rPr>
                <w:sz w:val="20"/>
              </w:rPr>
              <w:t>brak uwag</w:t>
            </w:r>
          </w:p>
        </w:tc>
        <w:tc>
          <w:tcPr>
            <w:tcW w:w="23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brak uwag</w:t>
            </w:r>
          </w:p>
        </w:tc>
      </w:tr>
      <w:tr w:rsidR="00424449" w:rsidTr="00821189">
        <w:tc>
          <w:tcPr>
            <w:tcW w:w="280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Default="00424449" w:rsidP="00821189">
            <w:pPr>
              <w:spacing w:before="120" w:after="120"/>
              <w:jc w:val="center"/>
              <w:rPr>
                <w:i/>
                <w:sz w:val="20"/>
                <w:szCs w:val="20"/>
              </w:rPr>
            </w:pPr>
            <w:r>
              <w:rPr>
                <w:i/>
                <w:sz w:val="20"/>
                <w:szCs w:val="20"/>
              </w:rPr>
              <w:t xml:space="preserve">Liczba usług publicznych udostępnionych </w:t>
            </w:r>
            <w:proofErr w:type="spellStart"/>
            <w:r>
              <w:rPr>
                <w:i/>
                <w:sz w:val="20"/>
                <w:szCs w:val="20"/>
              </w:rPr>
              <w:t>on-line</w:t>
            </w:r>
            <w:proofErr w:type="spellEnd"/>
          </w:p>
        </w:tc>
        <w:tc>
          <w:tcPr>
            <w:tcW w:w="1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2.3</w:t>
            </w:r>
          </w:p>
        </w:tc>
        <w:tc>
          <w:tcPr>
            <w:tcW w:w="270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brak uwag</w:t>
            </w:r>
          </w:p>
        </w:tc>
        <w:tc>
          <w:tcPr>
            <w:tcW w:w="23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brak uwag</w:t>
            </w:r>
          </w:p>
        </w:tc>
      </w:tr>
    </w:tbl>
    <w:p w:rsidR="00424449" w:rsidRDefault="00424449" w:rsidP="00821189">
      <w:pPr>
        <w:ind w:left="360"/>
        <w:jc w:val="center"/>
        <w:rPr>
          <w:rFonts w:ascii="Calibri" w:eastAsia="Calibri" w:hAnsi="Calibri"/>
          <w:i/>
          <w:sz w:val="20"/>
        </w:rPr>
      </w:pPr>
      <w:r>
        <w:rPr>
          <w:i/>
          <w:sz w:val="20"/>
        </w:rPr>
        <w:t>Źródło: Opracowanie własne</w:t>
      </w:r>
    </w:p>
    <w:p w:rsidR="00424449" w:rsidRDefault="00424449" w:rsidP="00821189">
      <w:pPr>
        <w:pStyle w:val="Nagwek4"/>
      </w:pPr>
      <w:r>
        <w:t>Wskaźniki produktu</w:t>
      </w:r>
    </w:p>
    <w:p w:rsidR="00424449" w:rsidRDefault="00424449" w:rsidP="00821189">
      <w:r>
        <w:t>Brak uwag – wskaźnik korespondujący z częścią planowanych działań.</w:t>
      </w:r>
    </w:p>
    <w:p w:rsidR="00424449" w:rsidRDefault="00424449" w:rsidP="0082118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11</w:t>
      </w:r>
      <w:r w:rsidR="001B04AC">
        <w:rPr>
          <w:noProof/>
        </w:rPr>
        <w:fldChar w:fldCharType="end"/>
      </w:r>
      <w:r>
        <w:t>. Oś priorytetowa II – ocena wskaźników produktu</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47"/>
        <w:gridCol w:w="3472"/>
        <w:gridCol w:w="2687"/>
        <w:gridCol w:w="2380"/>
      </w:tblGrid>
      <w:tr w:rsidR="00424449" w:rsidTr="00821189">
        <w:trPr>
          <w:tblHeader/>
        </w:trPr>
        <w:tc>
          <w:tcPr>
            <w:tcW w:w="7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821189">
            <w:pPr>
              <w:spacing w:before="60" w:after="60"/>
              <w:jc w:val="center"/>
              <w:rPr>
                <w:rFonts w:eastAsia="Calibri" w:cs="Times New Roman"/>
                <w:b/>
                <w:color w:val="FFFFFF" w:themeColor="background1"/>
                <w:sz w:val="20"/>
                <w:szCs w:val="18"/>
              </w:rPr>
            </w:pPr>
          </w:p>
        </w:tc>
        <w:tc>
          <w:tcPr>
            <w:tcW w:w="34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60" w:after="60"/>
              <w:jc w:val="center"/>
              <w:rPr>
                <w:rFonts w:eastAsia="Calibri" w:cs="Times New Roman"/>
                <w:b/>
                <w:color w:val="FFFFFF" w:themeColor="background1"/>
                <w:sz w:val="20"/>
                <w:szCs w:val="18"/>
              </w:rPr>
            </w:pPr>
            <w:r>
              <w:rPr>
                <w:b/>
                <w:color w:val="FFFFFF" w:themeColor="background1"/>
                <w:sz w:val="20"/>
                <w:szCs w:val="18"/>
              </w:rPr>
              <w:t xml:space="preserve">wskaźnik </w:t>
            </w:r>
          </w:p>
        </w:tc>
        <w:tc>
          <w:tcPr>
            <w:tcW w:w="26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60" w:after="60"/>
              <w:jc w:val="center"/>
              <w:rPr>
                <w:rFonts w:eastAsia="Calibri" w:cs="Times New Roman"/>
                <w:b/>
                <w:color w:val="FFFFFF" w:themeColor="background1"/>
                <w:sz w:val="20"/>
                <w:szCs w:val="18"/>
              </w:rPr>
            </w:pPr>
            <w:r>
              <w:rPr>
                <w:b/>
                <w:color w:val="FFFFFF" w:themeColor="background1"/>
                <w:sz w:val="20"/>
              </w:rPr>
              <w:t>ocena doboru wskaźnika</w:t>
            </w:r>
          </w:p>
        </w:tc>
        <w:tc>
          <w:tcPr>
            <w:tcW w:w="23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821189">
            <w:pPr>
              <w:spacing w:before="120" w:after="120"/>
              <w:jc w:val="center"/>
              <w:rPr>
                <w:b/>
                <w:color w:val="FFFFFF" w:themeColor="background1"/>
                <w:sz w:val="20"/>
              </w:rPr>
            </w:pPr>
            <w:r>
              <w:rPr>
                <w:b/>
                <w:color w:val="FFFFFF" w:themeColor="background1"/>
                <w:sz w:val="20"/>
              </w:rPr>
              <w:t>ocena oszacowania</w:t>
            </w:r>
          </w:p>
        </w:tc>
      </w:tr>
      <w:tr w:rsidR="00424449" w:rsidTr="00821189">
        <w:tc>
          <w:tcPr>
            <w:tcW w:w="74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821189">
            <w:pPr>
              <w:spacing w:before="60" w:after="60"/>
              <w:jc w:val="left"/>
              <w:rPr>
                <w:rFonts w:eastAsia="Calibri" w:cs="Times New Roman"/>
                <w:b/>
                <w:sz w:val="20"/>
                <w:szCs w:val="18"/>
              </w:rPr>
            </w:pPr>
            <w:r>
              <w:rPr>
                <w:b/>
                <w:sz w:val="20"/>
                <w:szCs w:val="18"/>
              </w:rPr>
              <w:t>2.3</w:t>
            </w:r>
          </w:p>
        </w:tc>
        <w:tc>
          <w:tcPr>
            <w:tcW w:w="34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821189">
            <w:pPr>
              <w:spacing w:after="120" w:line="276" w:lineRule="auto"/>
              <w:jc w:val="left"/>
              <w:rPr>
                <w:rFonts w:eastAsia="Calibri" w:cs="Arial"/>
                <w:i/>
                <w:sz w:val="20"/>
                <w:szCs w:val="20"/>
              </w:rPr>
            </w:pPr>
            <w:r>
              <w:rPr>
                <w:rFonts w:cs="Arial"/>
                <w:i/>
                <w:sz w:val="20"/>
                <w:szCs w:val="20"/>
              </w:rPr>
              <w:t xml:space="preserve">Liczba podmiotów, które udostępniły </w:t>
            </w:r>
            <w:proofErr w:type="spellStart"/>
            <w:r>
              <w:rPr>
                <w:rFonts w:cs="Arial"/>
                <w:i/>
                <w:sz w:val="20"/>
                <w:szCs w:val="20"/>
              </w:rPr>
              <w:t>on-line</w:t>
            </w:r>
            <w:proofErr w:type="spellEnd"/>
            <w:r>
              <w:rPr>
                <w:rFonts w:cs="Arial"/>
                <w:i/>
                <w:sz w:val="20"/>
                <w:szCs w:val="20"/>
              </w:rPr>
              <w:t xml:space="preserve"> informacje sektora publicznego</w:t>
            </w:r>
          </w:p>
        </w:tc>
        <w:tc>
          <w:tcPr>
            <w:tcW w:w="26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821189">
            <w:pPr>
              <w:jc w:val="center"/>
              <w:rPr>
                <w:rFonts w:eastAsia="Calibri" w:cs="Times New Roman"/>
                <w:sz w:val="20"/>
                <w:szCs w:val="18"/>
              </w:rPr>
            </w:pPr>
            <w:r>
              <w:rPr>
                <w:sz w:val="20"/>
                <w:szCs w:val="18"/>
              </w:rPr>
              <w:t>brak uwag</w:t>
            </w:r>
          </w:p>
        </w:tc>
        <w:tc>
          <w:tcPr>
            <w:tcW w:w="23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brak uwag</w:t>
            </w:r>
          </w:p>
        </w:tc>
      </w:tr>
    </w:tbl>
    <w:p w:rsidR="00424449" w:rsidRDefault="00424449" w:rsidP="00821189">
      <w:pPr>
        <w:ind w:left="360"/>
        <w:jc w:val="center"/>
        <w:rPr>
          <w:rFonts w:ascii="Calibri" w:eastAsia="Calibri" w:hAnsi="Calibri"/>
          <w:i/>
          <w:sz w:val="20"/>
        </w:rPr>
      </w:pPr>
      <w:r>
        <w:rPr>
          <w:i/>
          <w:sz w:val="20"/>
        </w:rPr>
        <w:t>Źródło: Opracowanie własne</w:t>
      </w:r>
    </w:p>
    <w:p w:rsidR="00424449" w:rsidRDefault="00424449" w:rsidP="00821189">
      <w:pPr>
        <w:pStyle w:val="Nagwek4"/>
      </w:pPr>
      <w:r>
        <w:t>Wskaźniki wybrane do ram wykonania</w:t>
      </w:r>
    </w:p>
    <w:p w:rsidR="00424449" w:rsidRDefault="00424449" w:rsidP="00821189">
      <w:r>
        <w:t xml:space="preserve">Brak uwag – zaproponowane rozwiązanie jest jedynym możliwym w sytuacji, w której do monitorowania PI 2.3 wykorzystany będzie jeden wskaźnik. </w:t>
      </w:r>
    </w:p>
    <w:p w:rsidR="00424449" w:rsidRDefault="00424449" w:rsidP="0082118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12</w:t>
      </w:r>
      <w:r w:rsidR="001B04AC">
        <w:rPr>
          <w:noProof/>
        </w:rPr>
        <w:fldChar w:fldCharType="end"/>
      </w:r>
      <w:r>
        <w:t>. Oś priorytetowa I – ocena wskaźników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057"/>
        <w:gridCol w:w="2771"/>
        <w:gridCol w:w="2458"/>
      </w:tblGrid>
      <w:tr w:rsidR="00424449" w:rsidTr="00821189">
        <w:tc>
          <w:tcPr>
            <w:tcW w:w="40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120" w:after="120"/>
              <w:jc w:val="center"/>
              <w:rPr>
                <w:rFonts w:ascii="Calibri" w:eastAsia="Calibri" w:hAnsi="Calibri" w:cs="Times New Roman"/>
                <w:b/>
                <w:color w:val="FFFFFF" w:themeColor="background1"/>
                <w:sz w:val="20"/>
              </w:rPr>
            </w:pPr>
            <w:r>
              <w:rPr>
                <w:b/>
                <w:color w:val="FFFFFF" w:themeColor="background1"/>
                <w:sz w:val="20"/>
              </w:rPr>
              <w:t xml:space="preserve">wskaźnik </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821189">
            <w:pPr>
              <w:spacing w:before="120" w:after="120"/>
              <w:jc w:val="center"/>
              <w:rPr>
                <w:rFonts w:ascii="Calibri" w:eastAsia="Calibri" w:hAnsi="Calibri" w:cs="Times New Roman"/>
                <w:b/>
                <w:color w:val="FFFFFF" w:themeColor="background1"/>
                <w:sz w:val="20"/>
              </w:rPr>
            </w:pPr>
            <w:r>
              <w:rPr>
                <w:b/>
                <w:color w:val="FFFFFF" w:themeColor="background1"/>
                <w:sz w:val="20"/>
              </w:rPr>
              <w:t>ocena doboru wskaźnika</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821189">
            <w:pPr>
              <w:spacing w:before="120" w:after="120"/>
              <w:jc w:val="center"/>
              <w:rPr>
                <w:b/>
                <w:color w:val="FFFFFF" w:themeColor="background1"/>
                <w:sz w:val="20"/>
              </w:rPr>
            </w:pPr>
            <w:r>
              <w:rPr>
                <w:b/>
                <w:color w:val="FFFFFF" w:themeColor="background1"/>
                <w:sz w:val="20"/>
              </w:rPr>
              <w:t>ocena oszacowania</w:t>
            </w:r>
          </w:p>
        </w:tc>
      </w:tr>
      <w:tr w:rsidR="00424449" w:rsidTr="00821189">
        <w:tc>
          <w:tcPr>
            <w:tcW w:w="40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821189">
            <w:pPr>
              <w:spacing w:line="276" w:lineRule="auto"/>
              <w:rPr>
                <w:rFonts w:eastAsia="Calibri" w:cs="Arial"/>
                <w:i/>
                <w:sz w:val="20"/>
                <w:szCs w:val="20"/>
              </w:rPr>
            </w:pPr>
            <w:r>
              <w:rPr>
                <w:rFonts w:cs="Arial"/>
                <w:i/>
                <w:sz w:val="20"/>
                <w:szCs w:val="20"/>
              </w:rPr>
              <w:t xml:space="preserve">Liczba podmiotów, które udostępniły </w:t>
            </w:r>
            <w:proofErr w:type="spellStart"/>
            <w:r>
              <w:rPr>
                <w:rFonts w:cs="Arial"/>
                <w:i/>
                <w:sz w:val="20"/>
                <w:szCs w:val="20"/>
              </w:rPr>
              <w:t>on-line</w:t>
            </w:r>
            <w:proofErr w:type="spellEnd"/>
            <w:r>
              <w:rPr>
                <w:rFonts w:cs="Arial"/>
                <w:i/>
                <w:sz w:val="20"/>
                <w:szCs w:val="20"/>
              </w:rPr>
              <w:t xml:space="preserve"> informacje sektora publicznego</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821189">
            <w:pPr>
              <w:spacing w:before="120" w:after="120"/>
              <w:jc w:val="center"/>
              <w:rPr>
                <w:rFonts w:ascii="Calibri" w:eastAsia="Calibri" w:hAnsi="Calibri" w:cs="Times New Roman"/>
                <w:sz w:val="20"/>
              </w:rPr>
            </w:pPr>
            <w:r>
              <w:rPr>
                <w:sz w:val="20"/>
              </w:rPr>
              <w:t>brak uwag</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Default="00424449" w:rsidP="00821189">
            <w:pPr>
              <w:spacing w:before="120" w:after="120"/>
              <w:jc w:val="center"/>
              <w:rPr>
                <w:sz w:val="20"/>
              </w:rPr>
            </w:pPr>
            <w:r>
              <w:rPr>
                <w:sz w:val="20"/>
              </w:rPr>
              <w:t>brak uwag</w:t>
            </w:r>
          </w:p>
        </w:tc>
      </w:tr>
      <w:tr w:rsidR="00424449" w:rsidTr="00821189">
        <w:tc>
          <w:tcPr>
            <w:tcW w:w="40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Default="00424449" w:rsidP="00821189">
            <w:pPr>
              <w:spacing w:before="60" w:after="60"/>
              <w:jc w:val="left"/>
              <w:rPr>
                <w:rFonts w:ascii="Calibri" w:eastAsia="Calibri" w:hAnsi="Calibri" w:cs="Times New Roman"/>
                <w:i/>
                <w:color w:val="282828"/>
                <w:sz w:val="20"/>
              </w:rPr>
            </w:pPr>
            <w:r>
              <w:rPr>
                <w:rFonts w:cs="Arial"/>
                <w:i/>
                <w:sz w:val="20"/>
                <w:szCs w:val="20"/>
              </w:rPr>
              <w:t>Całkowita kwota wydatków kwalifikowanych</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821189">
            <w:pPr>
              <w:spacing w:before="120" w:after="120"/>
              <w:jc w:val="center"/>
              <w:rPr>
                <w:rFonts w:ascii="Calibri" w:eastAsia="Calibri" w:hAnsi="Calibri" w:cs="Times New Roman"/>
                <w:sz w:val="20"/>
              </w:rPr>
            </w:pPr>
            <w:r>
              <w:rPr>
                <w:sz w:val="20"/>
              </w:rPr>
              <w:t>brak uwag</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424449" w:rsidRDefault="00424449" w:rsidP="00821189">
            <w:pPr>
              <w:spacing w:before="120" w:after="120"/>
              <w:jc w:val="center"/>
              <w:rPr>
                <w:sz w:val="20"/>
              </w:rPr>
            </w:pPr>
            <w:r>
              <w:rPr>
                <w:sz w:val="20"/>
              </w:rPr>
              <w:t>brak uwag</w:t>
            </w:r>
          </w:p>
        </w:tc>
      </w:tr>
    </w:tbl>
    <w:p w:rsidR="00424449" w:rsidRDefault="00424449" w:rsidP="00821189">
      <w:pPr>
        <w:ind w:left="360"/>
        <w:jc w:val="center"/>
        <w:rPr>
          <w:rFonts w:ascii="Calibri" w:eastAsia="Calibri" w:hAnsi="Calibri"/>
          <w:i/>
          <w:sz w:val="20"/>
        </w:rPr>
      </w:pPr>
      <w:r>
        <w:rPr>
          <w:i/>
          <w:sz w:val="20"/>
        </w:rPr>
        <w:t>Źródło: Opracowanie własne</w:t>
      </w:r>
    </w:p>
    <w:p w:rsidR="00424449" w:rsidRDefault="00424449" w:rsidP="00821189">
      <w:pPr>
        <w:jc w:val="left"/>
        <w:rPr>
          <w:rFonts w:asciiTheme="majorHAnsi" w:eastAsiaTheme="majorEastAsia" w:hAnsiTheme="majorHAnsi" w:cstheme="majorBidi"/>
          <w:b/>
          <w:bCs/>
          <w:color w:val="366092" w:themeColor="accent1"/>
        </w:rPr>
      </w:pPr>
    </w:p>
    <w:p w:rsidR="00424449" w:rsidRDefault="00424449" w:rsidP="00821189">
      <w:pPr>
        <w:pStyle w:val="Nagwek3"/>
      </w:pPr>
      <w:r>
        <w:t>Wkład w realizację celów dokumentów strategicznych i celów polityk horyzontalnych</w:t>
      </w:r>
    </w:p>
    <w:p w:rsidR="00424449" w:rsidRDefault="00424449" w:rsidP="00821189">
      <w:pPr>
        <w:pStyle w:val="Nagwek4"/>
      </w:pPr>
      <w:r>
        <w:t>Cele strategiczne na poziomie europejskim i polityki horyzontalne</w:t>
      </w:r>
    </w:p>
    <w:p w:rsidR="00424449" w:rsidRDefault="00424449" w:rsidP="00821189">
      <w:r>
        <w:t xml:space="preserve">Oś priorytetowa II </w:t>
      </w:r>
      <w:r>
        <w:rPr>
          <w:i/>
        </w:rPr>
        <w:t>Cyfrowe Podkarpackie</w:t>
      </w:r>
      <w:r>
        <w:t xml:space="preserve"> w przedstawionym projekcie RPO jest spójna z zapisami Strategii Europa 2020, należy jednak zauważyć, że w obszarze dedykowanym społeczeństwu cyfrowemu w ramach </w:t>
      </w:r>
      <w:r>
        <w:rPr>
          <w:i/>
        </w:rPr>
        <w:t>inteligentnego rozwoju</w:t>
      </w:r>
      <w:r>
        <w:t xml:space="preserve"> inne typy interwencji (</w:t>
      </w:r>
      <w:r>
        <w:rPr>
          <w:i/>
        </w:rPr>
        <w:t xml:space="preserve">sieci szerokopasmowe, </w:t>
      </w:r>
      <w:r>
        <w:rPr>
          <w:i/>
        </w:rPr>
        <w:lastRenderedPageBreak/>
        <w:t xml:space="preserve">internetowa sprzedaż produktów i usług) </w:t>
      </w:r>
      <w:r>
        <w:t>są akcentowane silniej niż e-usługi sektora publicznego. W </w:t>
      </w:r>
      <w:r>
        <w:rPr>
          <w:i/>
        </w:rPr>
        <w:t>Europejskiej Agendzie Cyfrowej</w:t>
      </w:r>
      <w:r>
        <w:t>, uszczegóławiającej pewną część Strategii Europa 2020 znajdują się jednak konkretne postulaty silniejszego promowania e-usług sektora publicznego, podobnie w </w:t>
      </w:r>
      <w:proofErr w:type="spellStart"/>
      <w:r>
        <w:t>Position</w:t>
      </w:r>
      <w:proofErr w:type="spellEnd"/>
      <w:r>
        <w:t xml:space="preserve"> Paper rekomenduje się priorytetowe potraktowanie </w:t>
      </w:r>
      <w:r>
        <w:rPr>
          <w:i/>
        </w:rPr>
        <w:t>rozwoju e-gospodarki –</w:t>
      </w:r>
      <w:r>
        <w:t xml:space="preserve"> można zatem uznać, że „Cyfrowe Podkarpackie” znajduje się w orbicie wskazanej przez cele polityk europejskich.</w:t>
      </w:r>
    </w:p>
    <w:p w:rsidR="00424449" w:rsidRDefault="00424449" w:rsidP="00821189">
      <w:pPr>
        <w:pStyle w:val="Nagwek4"/>
      </w:pPr>
      <w:r>
        <w:t>Cele strategiczne na poziomie krajowym</w:t>
      </w:r>
    </w:p>
    <w:p w:rsidR="00424449" w:rsidRDefault="00424449" w:rsidP="00821189">
      <w:r>
        <w:t xml:space="preserve">Tak duży akcent dla zagadnień związanych ze społeczeństwem informacyjnym w projekcie RPO WP w postaci wydzielonej osi priorytetowej jest spójny z podejściem reprezentowanym przez krajowe dokumenty strategiczne. DSRK oraz Strategia </w:t>
      </w:r>
      <w:r>
        <w:rPr>
          <w:i/>
        </w:rPr>
        <w:t>Sprawne Państwo</w:t>
      </w:r>
      <w:r>
        <w:t xml:space="preserve"> bardzo silnie podkreślają potrzeby w</w:t>
      </w:r>
      <w:r w:rsidR="006E50D0">
        <w:t> </w:t>
      </w:r>
      <w:r>
        <w:t xml:space="preserve"> zakresie cyfryzacji kraju (cel strategiczny DSRK </w:t>
      </w:r>
      <w:r>
        <w:rPr>
          <w:i/>
        </w:rPr>
        <w:t>umiejętne i intensywne spożytkowanie technologii informacyjno-komunikacyjnych na rzecz rozwoju kraju</w:t>
      </w:r>
      <w:r>
        <w:t xml:space="preserve">). Także w ramach SRK temat społeczeństwa informacyjnego znajduje się wewnątrz trzech najważniejszych pól interwencji, przy czym e-usługi sektora publicznego zostały ujęte w celu </w:t>
      </w:r>
      <w:r>
        <w:rPr>
          <w:i/>
        </w:rPr>
        <w:t>Spójność społeczna i terytorialna</w:t>
      </w:r>
      <w:r>
        <w:t>. Sugerowałoby to ich większy związek z interwencją skierowaną na spójność niż konkurencyjność i innowacyjność.</w:t>
      </w:r>
    </w:p>
    <w:p w:rsidR="00424449" w:rsidRDefault="00424449" w:rsidP="00821189">
      <w:pPr>
        <w:pStyle w:val="Nagwek4"/>
      </w:pPr>
      <w:r>
        <w:t>Cele strategiczne województwa podkarpackiego</w:t>
      </w:r>
    </w:p>
    <w:p w:rsidR="00424449" w:rsidRDefault="00424449" w:rsidP="00424449">
      <w:r>
        <w:t xml:space="preserve">Interwencja z zakresu e-usług nie wykracza poza ramy SRWP 2020, realizując większość celów priorytetu 3.2 </w:t>
      </w:r>
      <w:r>
        <w:rPr>
          <w:i/>
        </w:rPr>
        <w:t>Dostępność technologii informacyjnych,</w:t>
      </w:r>
      <w:r>
        <w:t xml:space="preserve"> dedykowanemu zagadnieniom związanym ze społeczeństwem informacyjnym. Dlatego też widoczna jest pewna niespójność, podobnie jak w</w:t>
      </w:r>
      <w:r w:rsidR="006E50D0">
        <w:t> </w:t>
      </w:r>
      <w:r>
        <w:t xml:space="preserve"> przypadku e-usług w ramach SRK. Należy jednak zauważyć, że cele SRWP będą w tym zakresie realizowane także przez interwencję w ramach osi priorytetowej I. (wsparcie przedsiębiorstw) oraz PO PC (sieci szerokopasmowe), tak więc zapisy PI 2.3 należy w kontekście strategii województwa uznać za adekwatne. </w:t>
      </w:r>
      <w:bookmarkEnd w:id="13"/>
      <w:bookmarkEnd w:id="14"/>
    </w:p>
    <w:p w:rsidR="00424449" w:rsidRDefault="00424449">
      <w:pPr>
        <w:jc w:val="left"/>
      </w:pPr>
      <w:r>
        <w:br w:type="page"/>
      </w:r>
    </w:p>
    <w:p w:rsidR="00424449" w:rsidRDefault="00424449" w:rsidP="00424449">
      <w:pPr>
        <w:pStyle w:val="Nagwek2"/>
      </w:pPr>
      <w:bookmarkStart w:id="15" w:name="_Toc384914404"/>
      <w:r>
        <w:lastRenderedPageBreak/>
        <w:t xml:space="preserve">Oś priorytetowa III. </w:t>
      </w:r>
      <w:r w:rsidRPr="001B4777">
        <w:rPr>
          <w:i/>
        </w:rPr>
        <w:t>Czysta energia</w:t>
      </w:r>
      <w:bookmarkEnd w:id="15"/>
    </w:p>
    <w:p w:rsidR="00424449" w:rsidRDefault="00424449" w:rsidP="00424449">
      <w:pPr>
        <w:pStyle w:val="Nagwek3"/>
      </w:pPr>
      <w:r w:rsidRPr="00DA5071">
        <w:t>Ocena przesłanek interwencji</w:t>
      </w:r>
    </w:p>
    <w:p w:rsidR="00424449" w:rsidRDefault="00424449" w:rsidP="00424449">
      <w:r>
        <w:t xml:space="preserve">Uzasadnienie interwencji związanej z niskoemisyjną gospodarką przedstawione w sekcji </w:t>
      </w:r>
      <w:r w:rsidR="00DE299B">
        <w:t>1.1</w:t>
      </w:r>
      <w:r>
        <w:t xml:space="preserve"> należy ocenić jako poprawne. Z lektury opisu stanu obecnego w obszarze energetyki na pierwszy plan wysuwają się następujące zagadnienia:</w:t>
      </w:r>
    </w:p>
    <w:p w:rsidR="00424449" w:rsidRDefault="00424449" w:rsidP="000965A8">
      <w:pPr>
        <w:pStyle w:val="Akapitzlist"/>
        <w:numPr>
          <w:ilvl w:val="0"/>
          <w:numId w:val="10"/>
        </w:numPr>
        <w:ind w:left="714" w:hanging="357"/>
        <w:contextualSpacing w:val="0"/>
      </w:pPr>
      <w:r>
        <w:t xml:space="preserve">Zakres potrzebnych zmian w omawianym obszarze jest stosunkowo szeroki: województwo jest importerem energii netto, przez co bezpieczeństwo energetyczne regionu nie jest wystarczające. Istotną </w:t>
      </w:r>
      <w:r w:rsidR="00D941F3">
        <w:t xml:space="preserve">kwestią </w:t>
      </w:r>
      <w:r>
        <w:t>jest także rosnące zapotrzebowanie na energię (co wiąże się nie tyle z rosnącą energochłonnością, co po prostu ze wzrostem gospodarczym.</w:t>
      </w:r>
    </w:p>
    <w:p w:rsidR="00424449" w:rsidRDefault="00424449" w:rsidP="000965A8">
      <w:pPr>
        <w:pStyle w:val="Akapitzlist"/>
        <w:numPr>
          <w:ilvl w:val="0"/>
          <w:numId w:val="10"/>
        </w:numPr>
        <w:ind w:left="714" w:hanging="357"/>
        <w:contextualSpacing w:val="0"/>
      </w:pPr>
      <w:r>
        <w:t xml:space="preserve">Największym potencjał do zmian istnieje w obszarze produkcji ciepła. Obecnie, główną przyczyną przekroczenia standardów jakości powietrza jest tzw. niska emisja, a także ograniczona sprawność centralnych systemów ciepłowniczych. Rozwiązaniem części istniejących problemów może być wykorzystanie potencjału źródeł odnawialnych. </w:t>
      </w:r>
    </w:p>
    <w:p w:rsidR="00424449" w:rsidRPr="00296A4C" w:rsidRDefault="00424449" w:rsidP="00424449">
      <w:pPr>
        <w:rPr>
          <w:i/>
        </w:rPr>
      </w:pPr>
      <w:r w:rsidRPr="00296A4C">
        <w:t xml:space="preserve">W sekcji </w:t>
      </w:r>
      <w:r w:rsidR="00DE299B">
        <w:t>1.1</w:t>
      </w:r>
      <w:r w:rsidRPr="00296A4C">
        <w:t xml:space="preserve"> jako główne wyzwanie programu w obszarze energetyki wskazano </w:t>
      </w:r>
      <w:r w:rsidRPr="00296A4C">
        <w:rPr>
          <w:i/>
        </w:rPr>
        <w:t>poprawę efektywności energetycznej, w tym zwiększenie udziału odnawialnych źródeł energii</w:t>
      </w:r>
      <w:r w:rsidRPr="00296A4C">
        <w:t xml:space="preserve">. Takie sformułowanie  obejmuje najważniejsze zagadnienia objęte interwencją w osi priorytetowej III, jest również dobrze osadzony w diagnozie sytuacji społeczno-gospodarczej województwa podkarpackiego. </w:t>
      </w:r>
    </w:p>
    <w:p w:rsidR="00424449" w:rsidRDefault="00424449" w:rsidP="00424449">
      <w:r w:rsidRPr="00C22B02">
        <w:t>Uzasadnienie dla interwencji w obszarze odnawialnych źródeł energii należy ocenić jako wyczerpujące. Słusznie wskazuje się potencjał regionu w tym zakresie,</w:t>
      </w:r>
      <w:r w:rsidRPr="00C22B02">
        <w:rPr>
          <w:rStyle w:val="Odwoanieprzypisudolnego"/>
        </w:rPr>
        <w:footnoteReference w:id="15"/>
      </w:r>
      <w:r w:rsidRPr="00C22B02">
        <w:t xml:space="preserve"> także w kontekście specyfiki całego sektora energetycznego województwa podkarpackiego (województwo jest importerem energii netto). </w:t>
      </w:r>
      <w:r>
        <w:t>Dodatkowym – wykraczającym nieco poza przedstawioną w programie diagnozę – uzasadnieniem dla realizacji priorytetu inwestycyjnego 4.1 jest dotychczasowa dynamika</w:t>
      </w:r>
      <w:r w:rsidRPr="00C22B02">
        <w:t xml:space="preserve"> udziału energii elektrycznej produkowanej ze źródeł odnawialnych, która jest niższa niż przeciętnie w Polsce. Województwo podkarpackie wyróżniało się stosunkowo dobrym punktem wyjścia (w dużym stopniu dzięki Zespołowi Elektrowni Wodnych Solina-Myszkowce), ale przyrosty są znacznie mniejsze niż w</w:t>
      </w:r>
      <w:r w:rsidR="006E50D0">
        <w:t> </w:t>
      </w:r>
      <w:r w:rsidRPr="00C22B02">
        <w:t xml:space="preserve"> reszcie kraju, </w:t>
      </w:r>
      <w:r>
        <w:t xml:space="preserve">co potwierdza konieczność </w:t>
      </w:r>
      <w:r w:rsidRPr="00C22B02">
        <w:t xml:space="preserve">kontynuowania interwencji publicznej w tym obszarze. Pozostałe przesłanki interwencji przestawione w programie należy </w:t>
      </w:r>
      <w:r>
        <w:t xml:space="preserve">również </w:t>
      </w:r>
      <w:r w:rsidRPr="00C22B02">
        <w:t xml:space="preserve">ocenić jako </w:t>
      </w:r>
      <w:r>
        <w:t>poprawne, w </w:t>
      </w:r>
      <w:r w:rsidRPr="00C22B02">
        <w:t>szczególności te dotyczące technologii OZE, które mają w województwie podkarpackim szczególnie duży potencjał rozwoju, a także podkreślenie istotnej roli rozwoju sieci elektroenergetycznych pozwalających na wyprowadzenie mocy z nowopowstałych instalacji OZE.</w:t>
      </w:r>
      <w:r>
        <w:t xml:space="preserve"> </w:t>
      </w:r>
      <w:r w:rsidRPr="00C22B02">
        <w:t>Z zapisów programu nie wynika jednak, dlaczego istniejące mechanizmy prawno-instytucjonalne nie są wystarczające, aby operatorzy sam przyłączali instalacje do KSE.</w:t>
      </w:r>
      <w:r w:rsidRPr="00C22B02">
        <w:rPr>
          <w:rStyle w:val="Odwoanieprzypisudolnego"/>
        </w:rPr>
        <w:footnoteReference w:id="16"/>
      </w:r>
    </w:p>
    <w:p w:rsidR="00424449" w:rsidRDefault="00424449" w:rsidP="00424449">
      <w:r>
        <w:br w:type="page"/>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424449" w:rsidTr="00424449">
        <w:tc>
          <w:tcPr>
            <w:tcW w:w="9212" w:type="dxa"/>
          </w:tcPr>
          <w:p w:rsidR="00424449" w:rsidRDefault="00424449" w:rsidP="00424449">
            <w:pPr>
              <w:pStyle w:val="Legenda"/>
            </w:pPr>
            <w:r>
              <w:lastRenderedPageBreak/>
              <w:t xml:space="preserve">Wykres </w:t>
            </w:r>
            <w:r w:rsidR="001B04AC">
              <w:fldChar w:fldCharType="begin"/>
            </w:r>
            <w:r w:rsidR="008E1D74">
              <w:instrText xml:space="preserve"> SEQ Wykres \* ARABIC </w:instrText>
            </w:r>
            <w:r w:rsidR="001B04AC">
              <w:fldChar w:fldCharType="separate"/>
            </w:r>
            <w:r w:rsidR="00832320">
              <w:rPr>
                <w:noProof/>
              </w:rPr>
              <w:t>14</w:t>
            </w:r>
            <w:r w:rsidR="001B04AC">
              <w:rPr>
                <w:noProof/>
              </w:rPr>
              <w:fldChar w:fldCharType="end"/>
            </w:r>
            <w:r>
              <w:t xml:space="preserve">. Udział energii elektrycznej produkowanej ze źródeł odnawialnych. </w:t>
            </w:r>
          </w:p>
        </w:tc>
      </w:tr>
      <w:tr w:rsidR="00424449" w:rsidTr="00424449">
        <w:tc>
          <w:tcPr>
            <w:tcW w:w="9212" w:type="dxa"/>
          </w:tcPr>
          <w:p w:rsidR="00424449" w:rsidRDefault="00424449" w:rsidP="00424449">
            <w:pPr>
              <w:spacing w:before="120" w:after="120"/>
              <w:jc w:val="center"/>
            </w:pPr>
            <w:r>
              <w:rPr>
                <w:noProof/>
                <w:lang w:eastAsia="pl-PL"/>
              </w:rPr>
              <w:drawing>
                <wp:inline distT="0" distB="0" distL="0" distR="0">
                  <wp:extent cx="3596640" cy="2164080"/>
                  <wp:effectExtent l="0" t="0" r="0" b="0"/>
                  <wp:docPr id="929"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96640" cy="2164080"/>
                          </a:xfrm>
                          <a:prstGeom prst="rect">
                            <a:avLst/>
                          </a:prstGeom>
                          <a:noFill/>
                        </pic:spPr>
                      </pic:pic>
                    </a:graphicData>
                  </a:graphic>
                </wp:inline>
              </w:drawing>
            </w:r>
          </w:p>
        </w:tc>
      </w:tr>
      <w:tr w:rsidR="00424449" w:rsidTr="00424449">
        <w:tc>
          <w:tcPr>
            <w:tcW w:w="9212" w:type="dxa"/>
          </w:tcPr>
          <w:p w:rsidR="00424449" w:rsidRDefault="00424449" w:rsidP="00424449">
            <w:pPr>
              <w:pStyle w:val="rdo"/>
            </w:pPr>
            <w:r>
              <w:t xml:space="preserve">Źródło: Opracowanie własne na podstawie danych GUS. </w:t>
            </w:r>
          </w:p>
        </w:tc>
      </w:tr>
    </w:tbl>
    <w:p w:rsidR="00424449" w:rsidRDefault="00424449" w:rsidP="00424449"/>
    <w:p w:rsidR="00424449" w:rsidRDefault="00424449" w:rsidP="00424449">
      <w:r>
        <w:t xml:space="preserve">Dodatkowym uzasadnieniem dla interwencji w priorytecie inwestycyjnym 4.1 jest również ciągle nie w pełni wykorzystywany w województwie podkarpackim potencjał do zwiększania efektywności energetycznej oraz ograniczania emisji gazów cieplarnianych dzięki stosowaniu wysokosprawnej </w:t>
      </w:r>
      <w:proofErr w:type="spellStart"/>
      <w:r>
        <w:t>kogeneracji</w:t>
      </w:r>
      <w:proofErr w:type="spellEnd"/>
      <w:r>
        <w:t xml:space="preserve"> (niższy niż </w:t>
      </w:r>
      <w:proofErr w:type="spellStart"/>
      <w:r>
        <w:t>przeciętniej</w:t>
      </w:r>
      <w:proofErr w:type="spellEnd"/>
      <w:r>
        <w:t xml:space="preserve"> w Polsce odsetek energii cieplnej wytwarzane jest w skojarzeniu). Autorzy programu podjęli słuszna decyzję, aby nie wyodrębniać priorytetu inwestycyjnego 4.7 jako wydzielonego elementu osi priorytetowej. Zamiast tego, wsparcie dla instalacji </w:t>
      </w:r>
      <w:proofErr w:type="spellStart"/>
      <w:r>
        <w:t>kogeneracyjnych</w:t>
      </w:r>
      <w:proofErr w:type="spellEnd"/>
      <w:r>
        <w:t xml:space="preserve"> ograniczono do obiektów wykorzystujących źródła odnawialne. Jest to dodatkowo uzasadnione także w kontekście koncentracji na wskazanych w programie technologii OZE o największym potencjalne, w tym instalacji wykorzystujących biomasę (małe </w:t>
      </w:r>
      <w:proofErr w:type="spellStart"/>
      <w:r>
        <w:t>biogazownie</w:t>
      </w:r>
      <w:proofErr w:type="spellEnd"/>
      <w:r>
        <w:t xml:space="preserve"> rolnicze).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424449" w:rsidTr="00424449">
        <w:tc>
          <w:tcPr>
            <w:tcW w:w="9212" w:type="dxa"/>
          </w:tcPr>
          <w:p w:rsidR="00424449" w:rsidRDefault="00424449" w:rsidP="00424449">
            <w:pPr>
              <w:pStyle w:val="Legenda"/>
            </w:pPr>
            <w:r>
              <w:t xml:space="preserve">Wykres </w:t>
            </w:r>
            <w:r w:rsidR="001B04AC">
              <w:fldChar w:fldCharType="begin"/>
            </w:r>
            <w:r w:rsidR="008E1D74">
              <w:instrText xml:space="preserve"> SEQ Wykres \* ARABIC </w:instrText>
            </w:r>
            <w:r w:rsidR="001B04AC">
              <w:fldChar w:fldCharType="separate"/>
            </w:r>
            <w:r w:rsidR="00832320">
              <w:rPr>
                <w:noProof/>
              </w:rPr>
              <w:t>15</w:t>
            </w:r>
            <w:r w:rsidR="001B04AC">
              <w:rPr>
                <w:noProof/>
              </w:rPr>
              <w:fldChar w:fldCharType="end"/>
            </w:r>
            <w:r>
              <w:t>. Struktura zainstalowanych mocy wytwarzania energii elektrycznej z OZE w podziale na technologie</w:t>
            </w:r>
          </w:p>
        </w:tc>
      </w:tr>
      <w:tr w:rsidR="00424449" w:rsidTr="00424449">
        <w:tc>
          <w:tcPr>
            <w:tcW w:w="9212" w:type="dxa"/>
          </w:tcPr>
          <w:p w:rsidR="00424449" w:rsidRDefault="00424449" w:rsidP="00424449">
            <w:pPr>
              <w:spacing w:before="120" w:after="120"/>
              <w:jc w:val="center"/>
            </w:pPr>
            <w:r>
              <w:rPr>
                <w:noProof/>
                <w:lang w:eastAsia="pl-PL"/>
              </w:rPr>
              <w:drawing>
                <wp:inline distT="0" distB="0" distL="0" distR="0">
                  <wp:extent cx="4316095" cy="1798320"/>
                  <wp:effectExtent l="0" t="0" r="8255" b="0"/>
                  <wp:docPr id="930" name="Obraz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6095" cy="1798320"/>
                          </a:xfrm>
                          <a:prstGeom prst="rect">
                            <a:avLst/>
                          </a:prstGeom>
                          <a:noFill/>
                        </pic:spPr>
                      </pic:pic>
                    </a:graphicData>
                  </a:graphic>
                </wp:inline>
              </w:drawing>
            </w:r>
          </w:p>
        </w:tc>
      </w:tr>
      <w:tr w:rsidR="00424449" w:rsidTr="00424449">
        <w:tc>
          <w:tcPr>
            <w:tcW w:w="9212" w:type="dxa"/>
          </w:tcPr>
          <w:p w:rsidR="00424449" w:rsidRDefault="00424449" w:rsidP="00424449">
            <w:pPr>
              <w:pStyle w:val="rdo"/>
            </w:pPr>
            <w:r>
              <w:t xml:space="preserve">Źródło: Opracowanie własne na podstawie danych URE. </w:t>
            </w:r>
          </w:p>
        </w:tc>
      </w:tr>
    </w:tbl>
    <w:p w:rsidR="00424449" w:rsidRDefault="00424449" w:rsidP="00424449">
      <w:pPr>
        <w:jc w:val="left"/>
      </w:pPr>
      <w:r>
        <w:br w:type="page"/>
      </w:r>
    </w:p>
    <w:p w:rsidR="00424449" w:rsidRDefault="00424449" w:rsidP="00424449">
      <w:r w:rsidRPr="003F4B4D">
        <w:lastRenderedPageBreak/>
        <w:t xml:space="preserve">Zapisy programu – zarówno w sekcji </w:t>
      </w:r>
      <w:r w:rsidR="00DE299B">
        <w:t>1.1</w:t>
      </w:r>
      <w:r w:rsidRPr="003F4B4D">
        <w:t xml:space="preserve">, jak i w uszczegółowieniu poszczególnych priorytetów inwestycyjnych w rozdziale 2 – zawierają stosunkowo trafną diagnozę hierarchii potrzeb związanych z efektywnością energetyczną gospodarki. Słusznie wskazuje się na sektor komunalno-bytowy jako główne źródło zanieczyszczenia powietrza, co stanowi najważniejsze uzasadnienie interwencji w priorytecie inwestycyjnym 4.3 oraz w uzupełniającym go priorytecie 4.5 (w części "energetycznej"). Zgodnie z poniższym wykresem, główną przyczyną przekroczenia dopuszczalnego poziomu stężeń PM10  w województwie podkarpackim w 2011 r. było spalanie paliw w celu ogrzania budynków mieszkaniowych. </w:t>
      </w:r>
      <w:r w:rsidRPr="00A4664A">
        <w:t>W programie trafnie podkreślono również niepokojący trend zmniejszania udziału dużych (centralnych) źródeł ciepła na rzecz źródeł lokalnych</w:t>
      </w:r>
      <w:r w:rsidRPr="003F4B4D">
        <w:t>.</w:t>
      </w:r>
      <w:r>
        <w:rPr>
          <w:rStyle w:val="Odwoanieprzypisudolnego"/>
        </w:rPr>
        <w:footnoteReference w:id="17"/>
      </w:r>
      <w:r>
        <w:t xml:space="preserve"> Działania przewidziane do realizacji w</w:t>
      </w:r>
      <w:r w:rsidR="006E50D0">
        <w:t> </w:t>
      </w:r>
      <w:r>
        <w:t xml:space="preserve"> priorytecie inwestycyjnym 4.5 (w części energetycznej) posiadają podobne uzasadnienie do priorytetu 4.3, przy czym w tym przypadku nie przyjmuje się perspektywy poszczególnych obiektów (publicznych, mieszkaniowych), ale pozostałych elementów systemu energetycznego ośrodków miejskich, w szczególności sieci ciepłowniczych oraz ciepłowni i elektrociepłowni.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424449" w:rsidRPr="00E25FAF" w:rsidTr="00424449">
        <w:trPr>
          <w:trHeight w:val="426"/>
        </w:trPr>
        <w:tc>
          <w:tcPr>
            <w:tcW w:w="9212" w:type="dxa"/>
          </w:tcPr>
          <w:p w:rsidR="00424449" w:rsidRPr="00E25FAF" w:rsidRDefault="00424449" w:rsidP="00424449">
            <w:pPr>
              <w:pStyle w:val="Legenda"/>
            </w:pPr>
            <w:r w:rsidRPr="00E25FAF">
              <w:t xml:space="preserve">Wykres </w:t>
            </w:r>
            <w:r w:rsidR="001B04AC">
              <w:fldChar w:fldCharType="begin"/>
            </w:r>
            <w:r w:rsidR="008E1D74">
              <w:instrText xml:space="preserve"> SEQ Wykres \* ARABIC </w:instrText>
            </w:r>
            <w:r w:rsidR="001B04AC">
              <w:fldChar w:fldCharType="separate"/>
            </w:r>
            <w:r w:rsidR="00832320">
              <w:rPr>
                <w:noProof/>
              </w:rPr>
              <w:t>16</w:t>
            </w:r>
            <w:r w:rsidR="001B04AC">
              <w:rPr>
                <w:noProof/>
              </w:rPr>
              <w:fldChar w:fldCharType="end"/>
            </w:r>
            <w:r w:rsidRPr="00E25FAF">
              <w:t xml:space="preserve">. </w:t>
            </w:r>
            <w:r>
              <w:t xml:space="preserve">Przyczyny przekroczeń dopuszczalnego poziomu 24-godz. stężeń PM10 w strefach zaliczonych do klasy C w 2011 r. wskazane jako główne dla poszczególnych przypadków przekroczeń. </w:t>
            </w:r>
            <w:r>
              <w:br/>
              <w:t>S5 (kolor zielony) – oddziaływanie emisji związanych z indywidualnym ogrzewaniem budynków</w:t>
            </w:r>
          </w:p>
        </w:tc>
      </w:tr>
      <w:tr w:rsidR="00424449" w:rsidTr="00424449">
        <w:tc>
          <w:tcPr>
            <w:tcW w:w="9212" w:type="dxa"/>
          </w:tcPr>
          <w:p w:rsidR="00424449" w:rsidRPr="00E25FAF" w:rsidRDefault="00424449" w:rsidP="00424449">
            <w:pPr>
              <w:spacing w:before="120" w:after="120"/>
              <w:jc w:val="center"/>
            </w:pPr>
            <w:r>
              <w:rPr>
                <w:noProof/>
                <w:lang w:eastAsia="pl-PL"/>
              </w:rPr>
              <w:drawing>
                <wp:inline distT="0" distB="0" distL="0" distR="0">
                  <wp:extent cx="3944679" cy="2390490"/>
                  <wp:effectExtent l="0" t="0" r="0" b="0"/>
                  <wp:docPr id="931"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3973144" cy="2407740"/>
                          </a:xfrm>
                          <a:prstGeom prst="rect">
                            <a:avLst/>
                          </a:prstGeom>
                        </pic:spPr>
                      </pic:pic>
                    </a:graphicData>
                  </a:graphic>
                </wp:inline>
              </w:drawing>
            </w:r>
          </w:p>
        </w:tc>
      </w:tr>
      <w:tr w:rsidR="00424449" w:rsidTr="00424449">
        <w:tc>
          <w:tcPr>
            <w:tcW w:w="9212" w:type="dxa"/>
          </w:tcPr>
          <w:p w:rsidR="00424449" w:rsidRDefault="00424449" w:rsidP="00424449">
            <w:pPr>
              <w:pStyle w:val="rdo"/>
            </w:pPr>
            <w:r>
              <w:t>Źródło: PMŚ/IOŚ</w:t>
            </w:r>
          </w:p>
        </w:tc>
      </w:tr>
    </w:tbl>
    <w:p w:rsidR="001C6D58" w:rsidRDefault="001C6D58" w:rsidP="00424449"/>
    <w:p w:rsidR="00424449" w:rsidRPr="00A4664A" w:rsidRDefault="00424449" w:rsidP="00424449">
      <w:r w:rsidRPr="00A4664A">
        <w:t xml:space="preserve">Ogólnie można więc stwierdzić, że uzasadnienie interwencji w priorytetach inwestycyjnych 4.3 i 4.5 jest wystarczające – na obydwa działania zasługują na skoncentrowaną interwencję publiczną. </w:t>
      </w:r>
    </w:p>
    <w:p w:rsidR="00424449" w:rsidRPr="00A4664A" w:rsidRDefault="00424449" w:rsidP="00424449">
      <w:pPr>
        <w:pStyle w:val="Akapitzlist"/>
        <w:numPr>
          <w:ilvl w:val="0"/>
          <w:numId w:val="4"/>
        </w:numPr>
        <w:ind w:left="714" w:hanging="357"/>
        <w:contextualSpacing w:val="0"/>
      </w:pPr>
      <w:r w:rsidRPr="00A4664A">
        <w:t xml:space="preserve">Wspomniany w diagnozie programu malejący zasięg sieci ciepłowniczych faktycznie jest objawem stopniowego odchodzenia mieszkańców regionu od ciepła sieciowego na rzecz źródeł indywidualnych. Należy jednak także zwrócić uwagę na to, że w województwie podkarpackim wytwarza najmniej „sieciowej” energii cieplnej w przeliczeniu na jednego mieszkańca. Pewną rolę odgrywa tutaj na pewno specyficzna struktura osadnicza regionu, ale </w:t>
      </w:r>
      <w:r w:rsidRPr="00A4664A">
        <w:lastRenderedPageBreak/>
        <w:t xml:space="preserve">różnica z poziomem krajowym (6.5 TJ w Polsce, 2,8 TJ w woj. podkarpackim) jest bardzo duża. </w:t>
      </w:r>
    </w:p>
    <w:p w:rsidR="00424449" w:rsidRPr="00A4664A" w:rsidRDefault="00424449" w:rsidP="00424449">
      <w:pPr>
        <w:pStyle w:val="Akapitzlist"/>
        <w:numPr>
          <w:ilvl w:val="0"/>
          <w:numId w:val="4"/>
        </w:numPr>
        <w:ind w:left="714" w:hanging="357"/>
        <w:contextualSpacing w:val="0"/>
      </w:pPr>
      <w:r w:rsidRPr="00A4664A">
        <w:t>Dostępne dane są także dobrym uzasadnieniem inwestycji w modernizację sieci ciepłowniczych – straty w przesyle energii cieplnej są w województwie podkarpackim o przeszło 2,8 pkt. proc. wyższe niż przeciętnie w Polsce.</w:t>
      </w:r>
      <w:r>
        <w:t xml:space="preserve"> Niezależnie od tego warto pamiętać, że oczekiwanym</w:t>
      </w:r>
      <w:r w:rsidRPr="00A4664A">
        <w:t xml:space="preserve"> efektem interwencji RPO WP będzie również rozszerzenie zasięgu sieci ciepłowniczych, szczególnie na terenach o przekroczonych </w:t>
      </w:r>
      <w:r>
        <w:t>standardach jakości powietrza.</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70"/>
        <w:gridCol w:w="3071"/>
        <w:gridCol w:w="3071"/>
      </w:tblGrid>
      <w:tr w:rsidR="00424449" w:rsidRPr="004B780D" w:rsidTr="00424449">
        <w:tc>
          <w:tcPr>
            <w:tcW w:w="9212" w:type="dxa"/>
            <w:gridSpan w:val="3"/>
          </w:tcPr>
          <w:p w:rsidR="00424449" w:rsidRPr="004B780D" w:rsidRDefault="00424449" w:rsidP="00424449">
            <w:pPr>
              <w:pStyle w:val="Legenda"/>
            </w:pPr>
            <w:r w:rsidRPr="004B780D">
              <w:t xml:space="preserve">Wykres </w:t>
            </w:r>
            <w:r w:rsidR="001B04AC">
              <w:fldChar w:fldCharType="begin"/>
            </w:r>
            <w:r w:rsidR="008E1D74">
              <w:instrText xml:space="preserve"> SEQ Wykres \* ARABIC </w:instrText>
            </w:r>
            <w:r w:rsidR="001B04AC">
              <w:fldChar w:fldCharType="separate"/>
            </w:r>
            <w:r w:rsidR="00832320">
              <w:rPr>
                <w:noProof/>
              </w:rPr>
              <w:t>17</w:t>
            </w:r>
            <w:r w:rsidR="001B04AC">
              <w:rPr>
                <w:noProof/>
              </w:rPr>
              <w:fldChar w:fldCharType="end"/>
            </w:r>
            <w:r w:rsidRPr="004B780D">
              <w:t>. Energetyka cieplna w województwie podkarpackim – wybrane statystyki (2012)</w:t>
            </w:r>
          </w:p>
        </w:tc>
      </w:tr>
      <w:tr w:rsidR="00424449" w:rsidTr="00424449">
        <w:trPr>
          <w:trHeight w:val="636"/>
        </w:trPr>
        <w:tc>
          <w:tcPr>
            <w:tcW w:w="3070" w:type="dxa"/>
          </w:tcPr>
          <w:p w:rsidR="00424449" w:rsidRPr="004B780D" w:rsidRDefault="00424449" w:rsidP="00424449">
            <w:pPr>
              <w:pStyle w:val="Legenda"/>
            </w:pPr>
            <w:r w:rsidRPr="004B780D">
              <w:t>odsetek energii cieplnej wytwarzanej w kogeneracji</w:t>
            </w:r>
          </w:p>
        </w:tc>
        <w:tc>
          <w:tcPr>
            <w:tcW w:w="3071" w:type="dxa"/>
          </w:tcPr>
          <w:p w:rsidR="00424449" w:rsidRPr="004B780D" w:rsidRDefault="00424449" w:rsidP="00424449">
            <w:pPr>
              <w:pStyle w:val="Legenda"/>
            </w:pPr>
            <w:r w:rsidRPr="004B780D">
              <w:t>liczba TJ energii cieplnej („sieciowej”) na 1000 mieszkańców</w:t>
            </w:r>
          </w:p>
        </w:tc>
        <w:tc>
          <w:tcPr>
            <w:tcW w:w="3071" w:type="dxa"/>
          </w:tcPr>
          <w:p w:rsidR="00424449" w:rsidRPr="004B780D" w:rsidRDefault="00424449" w:rsidP="00424449">
            <w:pPr>
              <w:pStyle w:val="Legenda"/>
            </w:pPr>
            <w:r w:rsidRPr="004B780D">
              <w:t>straty w przesyle energii cieplnej</w:t>
            </w:r>
          </w:p>
        </w:tc>
      </w:tr>
      <w:tr w:rsidR="00424449" w:rsidTr="00424449">
        <w:trPr>
          <w:trHeight w:val="636"/>
        </w:trPr>
        <w:tc>
          <w:tcPr>
            <w:tcW w:w="3070" w:type="dxa"/>
          </w:tcPr>
          <w:p w:rsidR="00424449" w:rsidRPr="00D84C86" w:rsidRDefault="00424449" w:rsidP="00424449">
            <w:pPr>
              <w:spacing w:before="120" w:after="120"/>
              <w:jc w:val="center"/>
              <w:rPr>
                <w:highlight w:val="yellow"/>
              </w:rPr>
            </w:pPr>
            <w:r>
              <w:rPr>
                <w:noProof/>
                <w:lang w:eastAsia="pl-PL"/>
              </w:rPr>
              <w:drawing>
                <wp:inline distT="0" distB="0" distL="0" distR="0">
                  <wp:extent cx="1444625" cy="2207260"/>
                  <wp:effectExtent l="0" t="0" r="0" b="0"/>
                  <wp:docPr id="93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4625" cy="2207260"/>
                          </a:xfrm>
                          <a:prstGeom prst="rect">
                            <a:avLst/>
                          </a:prstGeom>
                          <a:noFill/>
                        </pic:spPr>
                      </pic:pic>
                    </a:graphicData>
                  </a:graphic>
                </wp:inline>
              </w:drawing>
            </w:r>
          </w:p>
        </w:tc>
        <w:tc>
          <w:tcPr>
            <w:tcW w:w="3071" w:type="dxa"/>
          </w:tcPr>
          <w:p w:rsidR="00424449" w:rsidRPr="00D84C86" w:rsidRDefault="00424449" w:rsidP="00424449">
            <w:pPr>
              <w:spacing w:before="120" w:after="120"/>
              <w:jc w:val="center"/>
              <w:rPr>
                <w:highlight w:val="yellow"/>
              </w:rPr>
            </w:pPr>
            <w:r>
              <w:rPr>
                <w:noProof/>
                <w:lang w:eastAsia="pl-PL"/>
              </w:rPr>
              <w:drawing>
                <wp:inline distT="0" distB="0" distL="0" distR="0">
                  <wp:extent cx="1444625" cy="2207260"/>
                  <wp:effectExtent l="0" t="0" r="0" b="0"/>
                  <wp:docPr id="93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4625" cy="2207260"/>
                          </a:xfrm>
                          <a:prstGeom prst="rect">
                            <a:avLst/>
                          </a:prstGeom>
                          <a:noFill/>
                        </pic:spPr>
                      </pic:pic>
                    </a:graphicData>
                  </a:graphic>
                </wp:inline>
              </w:drawing>
            </w:r>
          </w:p>
        </w:tc>
        <w:tc>
          <w:tcPr>
            <w:tcW w:w="3071" w:type="dxa"/>
          </w:tcPr>
          <w:p w:rsidR="00424449" w:rsidRPr="00D84C86" w:rsidRDefault="00424449" w:rsidP="00424449">
            <w:pPr>
              <w:spacing w:before="120" w:after="120"/>
              <w:jc w:val="center"/>
              <w:rPr>
                <w:highlight w:val="yellow"/>
              </w:rPr>
            </w:pPr>
            <w:r>
              <w:rPr>
                <w:noProof/>
                <w:lang w:eastAsia="pl-PL"/>
              </w:rPr>
              <w:drawing>
                <wp:inline distT="0" distB="0" distL="0" distR="0">
                  <wp:extent cx="1450975" cy="2207260"/>
                  <wp:effectExtent l="0" t="0" r="0" b="0"/>
                  <wp:docPr id="934"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0975" cy="2207260"/>
                          </a:xfrm>
                          <a:prstGeom prst="rect">
                            <a:avLst/>
                          </a:prstGeom>
                          <a:noFill/>
                        </pic:spPr>
                      </pic:pic>
                    </a:graphicData>
                  </a:graphic>
                </wp:inline>
              </w:drawing>
            </w:r>
          </w:p>
        </w:tc>
      </w:tr>
      <w:tr w:rsidR="00424449" w:rsidTr="00424449">
        <w:tc>
          <w:tcPr>
            <w:tcW w:w="9212" w:type="dxa"/>
            <w:gridSpan w:val="3"/>
          </w:tcPr>
          <w:p w:rsidR="00424449" w:rsidRDefault="00424449" w:rsidP="00424449">
            <w:pPr>
              <w:pStyle w:val="rdo"/>
            </w:pPr>
            <w:r>
              <w:t xml:space="preserve">Źródło: Opracowanie własne na podstawie danych URE.   </w:t>
            </w:r>
          </w:p>
        </w:tc>
      </w:tr>
    </w:tbl>
    <w:p w:rsidR="00424449" w:rsidRDefault="00424449" w:rsidP="00424449"/>
    <w:p w:rsidR="00424449" w:rsidRDefault="00424449" w:rsidP="00424449">
      <w:pPr>
        <w:jc w:val="left"/>
        <w:rPr>
          <w:rFonts w:asciiTheme="majorHAnsi" w:eastAsiaTheme="majorEastAsia" w:hAnsiTheme="majorHAnsi" w:cstheme="majorBidi"/>
          <w:b/>
          <w:bCs/>
          <w:color w:val="366092" w:themeColor="accent1"/>
        </w:rPr>
      </w:pPr>
      <w:r>
        <w:br w:type="page"/>
      </w:r>
    </w:p>
    <w:p w:rsidR="00424449" w:rsidRDefault="00424449" w:rsidP="00424449">
      <w:pPr>
        <w:pStyle w:val="Nagwek3"/>
      </w:pPr>
      <w:r>
        <w:lastRenderedPageBreak/>
        <w:t>Ocena logiki interwencji i proponowanych form wsparcia</w:t>
      </w:r>
    </w:p>
    <w:p w:rsidR="00424449" w:rsidRDefault="00424449" w:rsidP="00424449">
      <w:pPr>
        <w:pStyle w:val="Nagwek4"/>
      </w:pPr>
      <w:r>
        <w:t>Poziom osi priorytetowej</w:t>
      </w:r>
    </w:p>
    <w:p w:rsidR="00424449" w:rsidRDefault="00424449" w:rsidP="00424449">
      <w:r>
        <w:t xml:space="preserve">Nadrzędnym celem osi priorytetowej jest </w:t>
      </w:r>
      <w:r w:rsidRPr="00042C60">
        <w:rPr>
          <w:i/>
        </w:rPr>
        <w:t xml:space="preserve">poprawa efektywności energetycznej oraz zwiększenie udziału </w:t>
      </w:r>
      <w:r w:rsidR="00DE299B">
        <w:rPr>
          <w:i/>
        </w:rPr>
        <w:t>odnawialnych źródeł energii</w:t>
      </w:r>
      <w:r>
        <w:t xml:space="preserve">. Takie sformułowanie celu należy ocenić jako poprawne i zgodne z wyzwaniami województwa podkarpackiego. Należy jednak pamiętać, że jest on również ściśle powiązany z </w:t>
      </w:r>
      <w:r w:rsidRPr="00AF57E1">
        <w:t xml:space="preserve">realizacją celu tematycznego 4 oraz nadrzędnego rezultatu określonego w Umowie Partnerstwa, tj. </w:t>
      </w:r>
      <w:r w:rsidRPr="00AF57E1">
        <w:rPr>
          <w:i/>
        </w:rPr>
        <w:t>zmniejszenia emisyjności gospodarki</w:t>
      </w:r>
      <w:r>
        <w:t xml:space="preserve">. </w:t>
      </w:r>
    </w:p>
    <w:p w:rsidR="00424449" w:rsidRDefault="00424449" w:rsidP="00424449">
      <w:r>
        <w:t xml:space="preserve">Zgodnie z zawartością ocenianego projektu programu, cel nadrzędny zostanie osiągnięty dzięki realizacji celów szczegółowych wyznaczonych na poziomie trzech  </w:t>
      </w:r>
      <w:r w:rsidR="004B348C">
        <w:t>PI</w:t>
      </w:r>
      <w:r>
        <w:t>:</w:t>
      </w:r>
      <w:r>
        <w:rPr>
          <w:rStyle w:val="Odwoanieprzypisudolnego"/>
        </w:rPr>
        <w:footnoteReference w:id="18"/>
      </w:r>
    </w:p>
    <w:p w:rsidR="00424449" w:rsidRPr="004A4A3B" w:rsidRDefault="00424449" w:rsidP="00424449">
      <w:pPr>
        <w:pStyle w:val="Akapitzlist"/>
        <w:numPr>
          <w:ilvl w:val="0"/>
          <w:numId w:val="8"/>
        </w:numPr>
        <w:spacing w:after="120"/>
        <w:ind w:left="714" w:hanging="357"/>
        <w:contextualSpacing w:val="0"/>
        <w:rPr>
          <w:i/>
        </w:rPr>
      </w:pPr>
      <w:r w:rsidRPr="004A4A3B">
        <w:rPr>
          <w:i/>
        </w:rPr>
        <w:t xml:space="preserve">4.1 </w:t>
      </w:r>
      <w:r w:rsidR="00376CC6">
        <w:rPr>
          <w:i/>
        </w:rPr>
        <w:t xml:space="preserve">Wspieranie wytwarzania i dystrybucji energii pochodzącej ze źródeł odnawialnych </w:t>
      </w:r>
      <w:r>
        <w:t xml:space="preserve">(cel szczegółowy: </w:t>
      </w:r>
      <w:r w:rsidRPr="00815F14">
        <w:rPr>
          <w:i/>
        </w:rPr>
        <w:t>wzrost wykorzystania potencjału odnawialnych źródeł energii w generacji rozproszonej oraz</w:t>
      </w:r>
      <w:r w:rsidR="00E31AF8">
        <w:rPr>
          <w:i/>
        </w:rPr>
        <w:t xml:space="preserve"> wzrost</w:t>
      </w:r>
      <w:r w:rsidRPr="00815F14">
        <w:rPr>
          <w:i/>
        </w:rPr>
        <w:t xml:space="preserve"> produkcji energii pochodzącej z wysokosprawnej kogeneracji</w:t>
      </w:r>
      <w:r>
        <w:t>)</w:t>
      </w:r>
      <w:r>
        <w:rPr>
          <w:i/>
        </w:rPr>
        <w:t>;</w:t>
      </w:r>
    </w:p>
    <w:p w:rsidR="00424449" w:rsidRPr="004A4A3B" w:rsidRDefault="00424449" w:rsidP="00424449">
      <w:pPr>
        <w:pStyle w:val="Akapitzlist"/>
        <w:numPr>
          <w:ilvl w:val="0"/>
          <w:numId w:val="8"/>
        </w:numPr>
        <w:spacing w:after="120"/>
        <w:ind w:left="714" w:hanging="357"/>
        <w:contextualSpacing w:val="0"/>
        <w:rPr>
          <w:i/>
        </w:rPr>
      </w:pPr>
      <w:r w:rsidRPr="004A4A3B">
        <w:rPr>
          <w:i/>
        </w:rPr>
        <w:t>4.3 Wspieranie efektywności energetycznej</w:t>
      </w:r>
      <w:r w:rsidR="00376CC6">
        <w:rPr>
          <w:i/>
        </w:rPr>
        <w:t>, inteligentnego zarządzania energią i wykorzystywania odnawialnych źródeł energii w infrastrukturze publicznej, w tym w budynkach publicznych i w sektorze mieszkaniowym</w:t>
      </w:r>
      <w:r w:rsidRPr="004A4A3B">
        <w:rPr>
          <w:i/>
        </w:rPr>
        <w:t xml:space="preserve"> </w:t>
      </w:r>
      <w:r>
        <w:t xml:space="preserve">(cel szczegółowy: </w:t>
      </w:r>
      <w:r>
        <w:rPr>
          <w:i/>
        </w:rPr>
        <w:t>poprawa efektywności energetycznej w sektorze mieszkaniowym i budynkach użyteczności publicznej</w:t>
      </w:r>
      <w:r>
        <w:t>)</w:t>
      </w:r>
      <w:r>
        <w:rPr>
          <w:i/>
        </w:rPr>
        <w:t>;</w:t>
      </w:r>
    </w:p>
    <w:p w:rsidR="00424449" w:rsidRPr="004A4A3B" w:rsidRDefault="00424449" w:rsidP="00424449">
      <w:pPr>
        <w:pStyle w:val="Akapitzlist"/>
        <w:numPr>
          <w:ilvl w:val="0"/>
          <w:numId w:val="8"/>
        </w:numPr>
        <w:spacing w:after="120"/>
        <w:ind w:left="714" w:hanging="357"/>
        <w:contextualSpacing w:val="0"/>
        <w:rPr>
          <w:i/>
        </w:rPr>
      </w:pPr>
      <w:r w:rsidRPr="004A4A3B">
        <w:rPr>
          <w:i/>
        </w:rPr>
        <w:t xml:space="preserve">4.5 Promowanie strategii niskoemisyjnych dla wszystkich </w:t>
      </w:r>
      <w:r w:rsidR="00376CC6">
        <w:rPr>
          <w:i/>
        </w:rPr>
        <w:t>rodzajów terytoriów</w:t>
      </w:r>
      <w:r w:rsidRPr="004A4A3B">
        <w:rPr>
          <w:i/>
        </w:rPr>
        <w:t xml:space="preserve">, w szczególności </w:t>
      </w:r>
      <w:r w:rsidR="00376CC6">
        <w:rPr>
          <w:i/>
        </w:rPr>
        <w:t>dla</w:t>
      </w:r>
      <w:r w:rsidR="00376CC6" w:rsidRPr="004A4A3B">
        <w:rPr>
          <w:i/>
        </w:rPr>
        <w:t xml:space="preserve"> </w:t>
      </w:r>
      <w:r w:rsidRPr="004A4A3B">
        <w:rPr>
          <w:i/>
        </w:rPr>
        <w:t>obszar</w:t>
      </w:r>
      <w:r w:rsidR="00376CC6">
        <w:rPr>
          <w:i/>
        </w:rPr>
        <w:t>ów</w:t>
      </w:r>
      <w:r w:rsidRPr="004A4A3B">
        <w:rPr>
          <w:i/>
        </w:rPr>
        <w:t xml:space="preserve"> miejskich, w tym wspieranie zrównoważone</w:t>
      </w:r>
      <w:r w:rsidR="00376CC6">
        <w:rPr>
          <w:i/>
        </w:rPr>
        <w:t>j multimodalnej mobilności miejskiej i działań adaptacyjnych mających oddziaływanie łagodzące zmiany klimatu</w:t>
      </w:r>
      <w:r w:rsidRPr="004A4A3B">
        <w:rPr>
          <w:i/>
        </w:rPr>
        <w:t xml:space="preserve"> </w:t>
      </w:r>
      <w:r>
        <w:t xml:space="preserve">(cel szczegółowy: </w:t>
      </w:r>
      <w:r>
        <w:rPr>
          <w:i/>
        </w:rPr>
        <w:t>obniżenie emisyjności ośrodków miejskich województwa</w:t>
      </w:r>
      <w:r>
        <w:t>)</w:t>
      </w:r>
      <w:r>
        <w:rPr>
          <w:i/>
        </w:rPr>
        <w:t>.</w:t>
      </w:r>
    </w:p>
    <w:p w:rsidR="00424449" w:rsidRDefault="00424449" w:rsidP="00424449">
      <w:r>
        <w:t>Po uwzględnieniu wskazanych w kolejnych sekcjach korekt, określone powyżej rezultaty będzie można uznać za wystarczające do osiągnięcia celu nadrzędnego. Z punktu widzenia logiki interwencji całej osi priorytetowej należy jednak zwrócić uwagę na dwa kluczowe zagadnienia:</w:t>
      </w:r>
    </w:p>
    <w:p w:rsidR="00424449" w:rsidRPr="00424449" w:rsidRDefault="00424449" w:rsidP="00424449">
      <w:pPr>
        <w:pStyle w:val="Akapitzlist"/>
        <w:numPr>
          <w:ilvl w:val="0"/>
          <w:numId w:val="7"/>
        </w:numPr>
        <w:ind w:left="714" w:hanging="357"/>
        <w:contextualSpacing w:val="0"/>
      </w:pPr>
      <w:r w:rsidRPr="00424449">
        <w:t xml:space="preserve">W toku niniejszej ewaluacji wypracowano rekomendację, aby zrezygnować z wyodrębnienia </w:t>
      </w:r>
      <w:r w:rsidR="004B348C">
        <w:t>PI</w:t>
      </w:r>
      <w:r w:rsidRPr="00424449">
        <w:t xml:space="preserve"> 4.2, w ramach którego miało znaleźć się wsparcie dla MŚP ukierunkowane na obniżenie efektywności energetycznej. Działania w tym zakresie słusznie przewidziano w osi priorytetowej I (w ramach PI 3.3). Takie rozwiązanie należy uznać za optymalne: poprawa efektowności energetycznej powinna być bowiem rozpatrywana w szerszym kontekście rozwoju przedsiębiorstwa. Zgodnie z argumentacją przywołaną we wcześniejszej sekcji, dla poprawy efektywności energetycznej MŚP kluczowe znacznie będzie mi</w:t>
      </w:r>
      <w:r w:rsidR="00250E03">
        <w:t>a</w:t>
      </w:r>
      <w:r w:rsidRPr="00424449">
        <w:t>ła prawdopodobnie przewidziany na poziomie krajowym system doradztwa, a nie bezpośrednia pomoc inwestycyjna.</w:t>
      </w:r>
      <w:r w:rsidRPr="00424449">
        <w:rPr>
          <w:rStyle w:val="Odwoanieprzypisudolnego"/>
        </w:rPr>
        <w:footnoteReference w:id="19"/>
      </w:r>
      <w:r w:rsidRPr="00424449">
        <w:t xml:space="preserve"> </w:t>
      </w:r>
    </w:p>
    <w:p w:rsidR="00424449" w:rsidRPr="00424449" w:rsidRDefault="00424449" w:rsidP="00424449">
      <w:pPr>
        <w:pStyle w:val="Akapitzlist"/>
        <w:numPr>
          <w:ilvl w:val="0"/>
          <w:numId w:val="7"/>
        </w:numPr>
        <w:ind w:left="714" w:hanging="357"/>
        <w:contextualSpacing w:val="0"/>
      </w:pPr>
      <w:r w:rsidRPr="00424449">
        <w:t xml:space="preserve">Wypracowano także rekomendację, aby nie włączać do programu wyodrębnionego PI 4.7. Demarkacja pomiędzy PI 4.7 oraz pozostałymi </w:t>
      </w:r>
      <w:r w:rsidR="004B348C">
        <w:t>PI</w:t>
      </w:r>
      <w:r w:rsidRPr="00424449">
        <w:t xml:space="preserve"> nie była oczywista – w szczególności nie było wiadomo, jakiego rodzaju projektu, które wymieniono w PI 4.7 nie mogłyby się ubiegać o</w:t>
      </w:r>
      <w:r w:rsidR="002F7C58">
        <w:t> </w:t>
      </w:r>
      <w:r w:rsidRPr="00424449">
        <w:t xml:space="preserve"> </w:t>
      </w:r>
      <w:r w:rsidRPr="00424449">
        <w:lastRenderedPageBreak/>
        <w:t>wsparcie w PI 4.3, PI 4.5 lub PI 4.1. Dotyczyło to np. wymienionych w opisie priorytetu przedsięwzięć spółek ciepłowniczych - znacznie lepszym miejscem niż PI 4.7 dla inwestycji tego typu będzie PI 4.5, gdzie będą one mogły być elementem szerzej zakrojonych planów niskoemisyjnych. Z kolei wsparcie dla instalacji kogeneracyjnych wykorzystujących źródła odnawialne (np. biogazownie rolnicze) będzie możliwe w ramach PI 4.1.</w:t>
      </w:r>
    </w:p>
    <w:p w:rsidR="00424449" w:rsidRPr="00424449" w:rsidRDefault="00424449" w:rsidP="00424449">
      <w:pPr>
        <w:pStyle w:val="Legenda"/>
        <w:keepNext/>
      </w:pPr>
      <w:r w:rsidRPr="00424449">
        <w:t xml:space="preserve">Schemat </w:t>
      </w:r>
      <w:r w:rsidR="001B04AC">
        <w:fldChar w:fldCharType="begin"/>
      </w:r>
      <w:r w:rsidR="008E1D74">
        <w:instrText xml:space="preserve"> SEQ Schemat \* ARABIC </w:instrText>
      </w:r>
      <w:r w:rsidR="001B04AC">
        <w:fldChar w:fldCharType="separate"/>
      </w:r>
      <w:r w:rsidR="00832320">
        <w:rPr>
          <w:noProof/>
        </w:rPr>
        <w:t>5</w:t>
      </w:r>
      <w:r w:rsidR="001B04AC">
        <w:rPr>
          <w:noProof/>
        </w:rPr>
        <w:fldChar w:fldCharType="end"/>
      </w:r>
      <w:r w:rsidRPr="00424449">
        <w:t>. Model logiczny osi priorytetowej III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0534"/>
      </w:tblGrid>
      <w:tr w:rsidR="00424449" w:rsidRPr="00424449" w:rsidTr="00424449">
        <w:trPr>
          <w:jc w:val="center"/>
        </w:trPr>
        <w:tc>
          <w:tcPr>
            <w:tcW w:w="9286" w:type="dxa"/>
            <w:shd w:val="clear" w:color="auto" w:fill="A4BEDD" w:themeFill="accent1" w:themeFillTint="66"/>
          </w:tcPr>
          <w:p w:rsidR="00424449" w:rsidRPr="00424449" w:rsidRDefault="00424449" w:rsidP="00424449">
            <w:pPr>
              <w:spacing w:before="120" w:after="120"/>
              <w:jc w:val="center"/>
              <w:rPr>
                <w:i/>
                <w:noProof/>
                <w:lang w:eastAsia="pl-PL"/>
              </w:rPr>
            </w:pPr>
            <w:r w:rsidRPr="00424449">
              <w:rPr>
                <w:b/>
                <w:i/>
                <w:noProof/>
                <w:sz w:val="20"/>
                <w:lang w:eastAsia="pl-PL"/>
              </w:rPr>
              <w:t>oś priorytetowa III. Czysta energia</w:t>
            </w:r>
          </w:p>
        </w:tc>
      </w:tr>
      <w:tr w:rsidR="00424449" w:rsidRPr="00424449" w:rsidTr="00743807">
        <w:trPr>
          <w:trHeight w:val="10397"/>
          <w:jc w:val="center"/>
        </w:trPr>
        <w:tc>
          <w:tcPr>
            <w:tcW w:w="9286" w:type="dxa"/>
          </w:tcPr>
          <w:p w:rsidR="00424449" w:rsidRPr="00424449" w:rsidRDefault="001B04AC" w:rsidP="00424449">
            <w:pPr>
              <w:spacing w:before="240" w:after="240"/>
              <w:rPr>
                <w:i/>
              </w:rPr>
            </w:pPr>
            <w:r>
              <w:rPr>
                <w:i/>
                <w:noProof/>
                <w:lang w:eastAsia="pl-PL"/>
              </w:rPr>
            </w:r>
            <w:r>
              <w:rPr>
                <w:i/>
                <w:noProof/>
                <w:lang w:eastAsia="pl-PL"/>
              </w:rPr>
              <w:pict>
                <v:group id="Kanwa 52" o:spid="_x0000_s1067" editas="canvas" style="width:515.9pt;height:502.75pt;mso-position-horizontal-relative:char;mso-position-vertical-relative:line" coordsize="65512,63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8" type="#_x0000_t75" style="position:absolute;width:65512;height:63842;visibility:visible">
                    <v:fill o:detectmouseclick="t"/>
                    <v:path o:connecttype="none"/>
                  </v:shape>
                  <v:rect id="Prostokąt 913" o:spid="_x0000_s1069" style="position:absolute;left:13592;top:1823;width:50932;height:603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1GKcQA&#10;AADcAAAADwAAAGRycy9kb3ducmV2LnhtbERPS2vCQBC+C/6HZYReim6sVkt0FVsplYIHH9DrkB2z&#10;IdnZkN2atL++KxS8zcf3nOW6s5W4UuMLxwrGowQEceZ0wbmC8+l9+ALCB2SNlWNS8EMe1qt+b4mp&#10;di0f6HoMuYgh7FNUYEKoUyl9ZsiiH7maOHIX11gMETa51A22MdxW8ilJZtJiwbHBYE1vhrLy+G0V&#10;tNvt114/TqbPn+bj8Gqrkn+LUqmHQbdZgAjUhbv4373Tcf5kDrdn4gV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NRinEAAAA3AAAAA8AAAAAAAAAAAAAAAAAmAIAAGRycy9k&#10;b3ducmV2LnhtbFBLBQYAAAAABAAEAPUAAACJAwAAAAA=&#10;" fillcolor="#e5dfec [663]" stroked="f">
                    <v:textbox>
                      <w:txbxContent>
                        <w:p w:rsidR="00832320" w:rsidRDefault="00832320" w:rsidP="00424449">
                          <w:pPr>
                            <w:pStyle w:val="NormalnyWeb"/>
                            <w:spacing w:before="0" w:beforeAutospacing="0" w:after="200" w:afterAutospacing="0" w:line="276" w:lineRule="auto"/>
                            <w:jc w:val="center"/>
                          </w:pPr>
                        </w:p>
                      </w:txbxContent>
                    </v:textbox>
                  </v:rect>
                  <v:rect id="Prostokąt 1" o:spid="_x0000_s1070" style="position:absolute;left:17553;top:2763;width:17198;height:4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dbocUA&#10;AADcAAAADwAAAGRycy9kb3ducmV2LnhtbESPQWsCMRCF7wX/Qxiht5q1hSJbo4jQVurFqlC8DZtx&#10;s7iZrEmq67/vHITeZnhv3vtmOu99qy4UUxPYwHhUgCKugm24NrDfvT9NQKWMbLENTAZulGA+GzxM&#10;sbThyt902eZaSQinEg24nLtS61Q58phGoSMW7RiixyxrrLWNeJVw3+rnonjVHhuWBocdLR1Vp+2v&#10;NxAnP+682n19VIvlpz006zqfu40xj8N+8QYqU5//zffrlRX8F6GVZ2QCP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J1uhxQAAANwAAAAPAAAAAAAAAAAAAAAAAJgCAABkcnMv&#10;ZG93bnJldi54bWxQSwUGAAAAAAQABAD1AAAAigMAAAAA&#10;" fillcolor="#ccc0d9" stroked="f">
                    <v:textbox>
                      <w:txbxContent>
                        <w:p w:rsidR="00832320" w:rsidRPr="00F72656" w:rsidRDefault="00832320" w:rsidP="00424449">
                          <w:pPr>
                            <w:jc w:val="center"/>
                            <w:rPr>
                              <w:b/>
                              <w:sz w:val="18"/>
                              <w:szCs w:val="18"/>
                            </w:rPr>
                          </w:pPr>
                          <w:r>
                            <w:rPr>
                              <w:b/>
                              <w:sz w:val="18"/>
                              <w:szCs w:val="18"/>
                            </w:rPr>
                            <w:t>poprawa efektywności energetycznej</w:t>
                          </w:r>
                        </w:p>
                      </w:txbxContent>
                    </v:textbox>
                  </v:rect>
                  <v:rect id="Prostokąt 2" o:spid="_x0000_s1071" style="position:absolute;left:55316;top:15128;width:9796;height:12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fSK8MA&#10;AADcAAAADwAAAGRycy9kb3ducmV2LnhtbERPS4vCMBC+C/6HMII3TXVh0WoUEQXdw+ILwdvQjG2x&#10;mZQm23b99ZsFwdt8fM+ZL1tTiJoql1tWMBpGIIgTq3NOFVzO28EEhPPIGgvLpOCXHCwX3c4cY20b&#10;PlJ98qkIIexiVJB5X8ZSuiQjg25oS+LA3W1l0AdYpVJX2IRwU8hxFH1KgzmHhgxLWmeUPE4/RsGh&#10;2Y531/p5/c6f96/Niuyt2Vul+r12NQPhqfVv8cu902H+xxT+nw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mfSK8MAAADcAAAADwAAAAAAAAAAAAAAAACYAgAAZHJzL2Rv&#10;d25yZXYueG1sUEsFBgAAAAAEAAQA9QAAAIgDAAAAAA==&#10;" fillcolor="#c2d69b" stroked="f">
                    <v:textbox>
                      <w:txbxContent>
                        <w:p w:rsidR="00832320" w:rsidRPr="00503F03" w:rsidRDefault="00832320" w:rsidP="00424449">
                          <w:pPr>
                            <w:jc w:val="center"/>
                            <w:rPr>
                              <w:sz w:val="16"/>
                              <w:szCs w:val="18"/>
                            </w:rPr>
                          </w:pPr>
                          <w:r w:rsidRPr="00805035">
                            <w:rPr>
                              <w:sz w:val="16"/>
                              <w:szCs w:val="18"/>
                            </w:rPr>
                            <w:t xml:space="preserve">Wzrost wykorzystania potencjału odnawialnych źródeł energii w generacji rozproszonej </w:t>
                          </w:r>
                          <w:r w:rsidRPr="00503F03">
                            <w:rPr>
                              <w:sz w:val="16"/>
                              <w:szCs w:val="18"/>
                            </w:rPr>
                            <w:t>(4.1)</w:t>
                          </w:r>
                        </w:p>
                      </w:txbxContent>
                    </v:textbox>
                  </v:rect>
                  <v:shape id="Łącznik prosty ze strzałką 15" o:spid="_x0000_s1072" type="#_x0000_t32" style="position:absolute;left:51768;top:7196;width:8446;height:793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w9p8MAAADcAAAADwAAAGRycy9kb3ducmV2LnhtbESPT0/DMAzF70h8h8hI3FjCHyFUlk0D&#10;aaJXVg4crcZLqjVOlYS18OnxAYmbrff83s/r7RJHdaZchsQWblcGFHGf3MDewke3v3kCVSqywzEx&#10;WfimAtvN5cUaG5dmfqfzoXolIVwatBBqnRqtSx8oYlmliVi0Y8oRq6zZa5dxlvA46jtjHnXEgaUh&#10;4ESvgfrT4StayG7atxS7n9aYcO/fXvxnd5qtvb5ads+gKi313/x33TrBfxB8eUYm0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cPafDAAAA3AAAAA8AAAAAAAAAAAAA&#10;AAAAoQIAAGRycy9kb3ducmV2LnhtbFBLBQYAAAAABAAEAPkAAACRAwAAAAA=&#10;" strokecolor="#335a8a">
                    <v:stroke endarrow="open"/>
                  </v:shape>
                  <v:rect id="Prostokąt 917" o:spid="_x0000_s1073" style="position:absolute;left:43170;top:2763;width:17196;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uBQcMA&#10;AADcAAAADwAAAGRycy9kb3ducmV2LnhtbERP32vCMBB+F/Y/hBvsTVPHGFKNpQjbZHvROhi+Hc3Z&#10;FJtLTTLt/vtFEHy7j+/nLYrBduJMPrSOFUwnGQji2umWGwXfu7fxDESIyBo7x6TgjwIUy4fRAnPt&#10;LrylcxUbkUI45KjAxNjnUobakMUwcT1x4g7OW4wJ+kZqj5cUbjv5nGWv0mLLqcFgTytD9bH6tQr8&#10;7Mec1rvP97pcfeh9+9XEU79R6ulxKOcgIg3xLr651zrNf5nC9Zl0gV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uBQcMAAADcAAAADwAAAAAAAAAAAAAAAACYAgAAZHJzL2Rv&#10;d25yZXYueG1sUEsFBgAAAAAEAAQA9QAAAIgDAAAAAA==&#10;" fillcolor="#ccc0d9"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b/>
                              <w:bCs/>
                              <w:sz w:val="18"/>
                              <w:szCs w:val="18"/>
                            </w:rPr>
                            <w:t>zwiększenie udziału odnawialnych źródeł energii</w:t>
                          </w:r>
                        </w:p>
                      </w:txbxContent>
                    </v:textbox>
                  </v:rect>
                  <v:rect id="Prostokąt 918" o:spid="_x0000_s1074" style="position:absolute;left:34026;top:15015;width:8382;height:1209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QrF8EA&#10;AADcAAAADwAAAGRycy9kb3ducmV2LnhtbERP32vCMBB+H+x/CDfY20wVkdEZRYSyvQ2rDPp2a84m&#10;rLmUJtbsv18EYW/38f289Ta5Xkw0ButZwXxWgCBuvbbcKTgdq5dXECEia+w9k4JfCrDdPD6ssdT+&#10;ygea6tiJHMKhRAUmxqGUMrSGHIaZH4gzd/ajw5jh2Ek94jWHu14uimIlHVrODQYH2htqf+qLUxCb&#10;9GWXVSWTOX9PTXWpP9/nVqnnp7R7AxEpxX/x3f2h8/zlAm7P5Av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UKxfBAAAA3AAAAA8AAAAAAAAAAAAAAAAAmAIAAGRycy9kb3du&#10;cmV2LnhtbFBLBQYAAAAABAAEAPUAAACGAwAAAAA=&#10;" fillcolor="#8bde95 [1304]" stroked="f">
                    <v:textbox>
                      <w:txbxContent>
                        <w:p w:rsidR="00832320" w:rsidRPr="00512AD0" w:rsidRDefault="00832320" w:rsidP="00424449">
                          <w:pPr>
                            <w:pStyle w:val="NormalnyWeb"/>
                            <w:spacing w:before="0" w:beforeAutospacing="0" w:after="200" w:afterAutospacing="0" w:line="276" w:lineRule="auto"/>
                            <w:jc w:val="center"/>
                          </w:pPr>
                          <w:r w:rsidRPr="00512AD0">
                            <w:rPr>
                              <w:rFonts w:ascii="Calibri" w:eastAsia="Calibri" w:hAnsi="Calibri"/>
                              <w:sz w:val="16"/>
                              <w:szCs w:val="16"/>
                            </w:rPr>
                            <w:t>Poprawa efektywności zużycia energii w MŚP (OP 1)</w:t>
                          </w:r>
                        </w:p>
                      </w:txbxContent>
                    </v:textbox>
                  </v:rect>
                  <v:rect id="Prostokąt 919" o:spid="_x0000_s1075" style="position:absolute;left:12305;top:15035;width:10800;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mWvMMA&#10;AADcAAAADwAAAGRycy9kb3ducmV2LnhtbERPS4vCMBC+C/6HMII3TXUXkWoUEQXdw+ILwdvQjG2x&#10;mZQm23b99ZsFwdt8fM+ZL1tTiJoql1tWMBpGIIgTq3NOFVzO28EUhPPIGgvLpOCXHCwX3c4cY20b&#10;PlJ98qkIIexiVJB5X8ZSuiQjg25oS+LA3W1l0AdYpVJX2IRwU8hxFE2kwZxDQ4YlrTNKHqcfo+DQ&#10;bMe7a/28fufP+9dmRfbW7K1S/V67moHw1Pq3+OXe6TD/8wP+nw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4mWvMMAAADcAAAADwAAAAAAAAAAAAAAAACYAgAAZHJzL2Rv&#10;d25yZXYueG1sUEsFBgAAAAAEAAQA9QAAAIgDA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P</w:t>
                          </w:r>
                          <w:r w:rsidRPr="007D5121">
                            <w:rPr>
                              <w:rFonts w:ascii="Calibri" w:eastAsia="Calibri" w:hAnsi="Calibri"/>
                              <w:sz w:val="16"/>
                              <w:szCs w:val="16"/>
                            </w:rPr>
                            <w:t>opraw</w:t>
                          </w:r>
                          <w:r>
                            <w:rPr>
                              <w:rFonts w:ascii="Calibri" w:eastAsia="Calibri" w:hAnsi="Calibri"/>
                              <w:sz w:val="16"/>
                              <w:szCs w:val="16"/>
                            </w:rPr>
                            <w:t xml:space="preserve">a </w:t>
                          </w:r>
                          <w:r w:rsidRPr="007D5121">
                            <w:rPr>
                              <w:rFonts w:ascii="Calibri" w:eastAsia="Calibri" w:hAnsi="Calibri"/>
                              <w:sz w:val="16"/>
                              <w:szCs w:val="16"/>
                            </w:rPr>
                            <w:t>efektywności energetycznej w sektorze mieszkaniowym i budynkach użyteczności publicznej</w:t>
                          </w:r>
                          <w:r>
                            <w:rPr>
                              <w:rFonts w:ascii="Calibri" w:eastAsia="Calibri" w:hAnsi="Calibri"/>
                              <w:sz w:val="16"/>
                              <w:szCs w:val="16"/>
                            </w:rPr>
                            <w:t xml:space="preserve"> (4.3)</w:t>
                          </w:r>
                        </w:p>
                      </w:txbxContent>
                    </v:textbox>
                  </v:rect>
                  <v:rect id="Prostokąt 920" o:spid="_x0000_s1076" style="position:absolute;left:24159;top:15022;width:8779;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yrU8MA&#10;AADcAAAADwAAAGRycy9kb3ducmV2LnhtbERPS4vCMBC+C/6HMII3TZVdkWoUEQXdw+ILwdvQjG2x&#10;mZQm23b99ZsFwdt8fM+ZL1tTiJoql1tWMBpGIIgTq3NOFVzO28EUhPPIGgvLpOCXHCwX3c4cY20b&#10;PlJ98qkIIexiVJB5X8ZSuiQjg25oS+LA3W1l0AdYpVJX2IRwU8hxFE2kwZxDQ4YlrTNKHqcfo+DQ&#10;bMe7a/28fufP+9dmRfbW7K1S/V67moHw1Pq3+OXe6TD/4xP+nw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yrU8MAAADcAAAADwAAAAAAAAAAAAAAAACYAgAAZHJzL2Rv&#10;d25yZXYueG1sUEsFBgAAAAAEAAQA9QAAAIgDA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Obniżenie emisyjności  ośrodków miejskich województwa (4.5)</w:t>
                          </w:r>
                        </w:p>
                      </w:txbxContent>
                    </v:textbox>
                  </v:rect>
                  <v:shape id="Łącznik prosty ze strzałką 921" o:spid="_x0000_s1077" type="#_x0000_t32" style="position:absolute;left:26152;top:7199;width:12065;height:7816;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kASMAAAADcAAAADwAAAGRycy9kb3ducmV2LnhtbERPS2sCMRC+C/0PYQreNOkDKVujtAXp&#10;Xuv20OOwmSaLm8mSpO7WX28Ewdt8fM9ZbyffiyPF1AXW8LBUIIjbYDq2Gr6b3eIFRMrIBvvApOGf&#10;Emw3d7M1ViaM/EXHfbaihHCqUIPLeaikTK0jj2kZBuLC/YboMRcYrTQRxxLue/mo1Ep67Lg0OBzo&#10;w1F72P95DdEMu5p8c6qVck/2893+NIdR6/n99PYKItOUb+KruzZl/vMKLs+UC+TmD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c5AEjAAAAA3AAAAA8AAAAAAAAAAAAAAAAA&#10;oQIAAGRycy9kb3ducmV2LnhtbFBLBQYAAAAABAAEAPkAAACOAwAAAAA=&#10;" strokecolor="#335a8a">
                    <v:stroke endarrow="open"/>
                  </v:shape>
                  <v:shape id="Łącznik prosty ze strzałką 922" o:spid="_x0000_s1078" type="#_x0000_t32" style="position:absolute;left:17705;top:7199;width:8447;height:783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uKDMEAAADcAAAADwAAAGRycy9kb3ducmV2LnhtbERPS4vCMBC+L/gfwgh7W1PfUo2yLqzI&#10;XqRV72MztsVmUpqo9d+bBcHbfHzPWaxaU4kbNa60rKDfi0AQZ1aXnCs47H+/ZiCcR9ZYWSYFD3Kw&#10;WnY+Fhhre+eEbqnPRQhhF6OCwvs6ltJlBRl0PVsTB+5sG4M+wCaXusF7CDeVHETRRBosOTQUWNNP&#10;QdklvRoFw+nJrc/H8eCa/w13241dp8kkUeqz237PQXhq/Vv8cm91mD+awv8z4QK5f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W4oMwQAAANwAAAAPAAAAAAAAAAAAAAAA&#10;AKECAABkcnMvZG93bnJldi54bWxQSwUGAAAAAAQABAD5AAAAjwMAAAAA&#10;" strokecolor="#335a8a">
                    <v:stroke endarrow="open"/>
                  </v:shape>
                  <v:shape id="Łącznik prosty ze strzałką 923" o:spid="_x0000_s1079" type="#_x0000_t32" style="position:absolute;left:26152;top:7199;width:2396;height:7823;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oxocMAAADcAAAADwAAAGRycy9kb3ducmV2LnhtbESPT0/DMAzF70h8h8hI3FjCHyFUlk0D&#10;aaJXVg4crcZLqjVOlYS18OnxAYmbrff83s/r7RJHdaZchsQWblcGFHGf3MDewke3v3kCVSqywzEx&#10;WfimAtvN5cUaG5dmfqfzoXolIVwatBBqnRqtSx8oYlmliVi0Y8oRq6zZa5dxlvA46jtjHnXEgaUh&#10;4ESvgfrT4StayG7atxS7n9aYcO/fXvxnd5qtvb5ads+gKi313/x33TrBfxBaeUYm0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qMaHDAAAA3AAAAA8AAAAAAAAAAAAA&#10;AAAAoQIAAGRycy9kb3ducmV2LnhtbFBLBQYAAAAABAAEAPkAAACRAwAAAAA=&#10;" strokecolor="#335a8a">
                    <v:stroke endarrow="open"/>
                  </v:shape>
                  <v:line id="Łącznik prostoliniowy 924" o:spid="_x0000_s1080" style="position:absolute;flip:y;visibility:visible" from="17552,29608" to="52283,29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OresUAAADcAAAADwAAAGRycy9kb3ducmV2LnhtbERPTWvCQBC9C/0PyxR6003b2GjqKiIV&#10;FA8a24PHITtNgtnZkN0m8d93C0Jv83ifs1gNphYdta6yrOB5EoEgzq2uuFDw9bkdz0A4j6yxtkwK&#10;buRgtXwYLTDVtueMurMvRAhhl6KC0vsmldLlJRl0E9sQB+7btgZ9gG0hdYt9CDe1fImiN2mw4tBQ&#10;YkObkvLr+cco2O67bBrP3Cm5Vpfjx+n1cDj6RKmnx2H9DsLT4P/Fd/dOh/nxHP6eCRf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OresUAAADcAAAADwAAAAAAAAAA&#10;AAAAAAChAgAAZHJzL2Rvd25yZXYueG1sUEsFBgAAAAAEAAQA+QAAAJMDAAAAAA==&#10;" strokecolor="#335a8a [3044]">
                    <v:stroke dashstyle="1 1"/>
                  </v:line>
                  <v:shape id="Łącznik prosty ze strzałką 925" o:spid="_x0000_s1081" type="#_x0000_t32" style="position:absolute;left:51768;top:7196;width:358;height:2241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4Q0cUAAADcAAAADwAAAGRycy9kb3ducmV2LnhtbESPT0/DMAzF75P4DpGRuG3pQEyoLK0G&#10;AsRhh/3hwNFqvLZa41RJWAOfHh+QuNl6z+/9vK6zG9SFQuw9G1guClDEjbc9twY+jq/zB1AxIVsc&#10;PJOBb4pQV1ezNZbWT7ynyyG1SkI4lmigS2kstY5NRw7jwo/Eop18cJhkDa22AScJd4O+LYqVdtiz&#10;NHQ40nNHzfnw5Qzsfp62Y+Lt5+btzufTdAyZXoIxN9d58wgqUU7/5r/rdyv494Ivz8gEu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U4Q0cUAAADcAAAADwAAAAAAAAAA&#10;AAAAAAChAgAAZHJzL2Rvd25yZXYueG1sUEsFBgAAAAAEAAQA+QAAAJMDAAAAAA==&#10;" strokecolor="#335a8a">
                    <v:stroke dashstyle="1 1" endarrow="open"/>
                  </v:shape>
                  <v:line id="Łącznik prostoliniowy 926" o:spid="_x0000_s1082" style="position:absolute;flip:x;visibility:visible" from="17625,27233" to="17625,29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wxocQAAADcAAAADwAAAGRycy9kb3ducmV2LnhtbERPS2vCQBC+F/oflhF6qxtrfRDdSCkK&#10;LR400YPHITsmIdnZkN3G9N93C4K3+fies94MphE9da6yrGAyjkAQ51ZXXCg4n3avSxDOI2tsLJOC&#10;X3KwSZ6f1hhre+OU+swXIoSwi1FB6X0bS+nykgy6sW2JA3e1nUEfYFdI3eEthJtGvkXRXBqsODSU&#10;2NJnSXmd/RgFu+8+nb0v3XFRV5fD9jjd7w9+odTLaPhYgfA0+If47v7SYf5sAv/Ph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vDGhxAAAANwAAAAPAAAAAAAAAAAA&#10;AAAAAKECAABkcnMvZG93bnJldi54bWxQSwUGAAAAAAQABAD5AAAAkgMAAAAA&#10;" strokecolor="#335a8a [3044]">
                    <v:stroke dashstyle="1 1"/>
                  </v:line>
                  <v:line id="Łącznik prostoliniowy 927" o:spid="_x0000_s1083" style="position:absolute;flip:x;visibility:visible" from="28559,27226" to="28559,29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6v1sMAAADcAAAADwAAAGRycy9kb3ducmV2LnhtbERPS4vCMBC+C/sfwizsTVN1fVCNIqKw&#10;iwfr4+BxaMa22ExKk63135sFwdt8fM+ZL1tTioZqV1hW0O9FIIhTqwvOFJxP2+4UhPPIGkvLpOBB&#10;DpaLj84cY23vfKDm6DMRQtjFqCD3voqldGlOBl3PVsSBu9raoA+wzqSu8R7CTSkHUTSWBgsODTlW&#10;tM4pvR3/jILtb3MYfU9dMrkVl/0mGe52ez9R6uuzXc1AeGr9W/xy/+gwfzSA/2fCB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9ur9bDAAAA3AAAAA8AAAAAAAAAAAAA&#10;AAAAoQIAAGRycy9kb3ducmV2LnhtbFBLBQYAAAAABAAEAPkAAACRAwAAAAA=&#10;" strokecolor="#335a8a [3044]">
                    <v:stroke dashstyle="1 1"/>
                  </v:line>
                  <v:rect id="Prostokąt 916" o:spid="_x0000_s1084" style="position:absolute;left:47310;top:31880;width:17776;height:3125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cC8MA&#10;AADcAAAADwAAAGRycy9kb3ducmV2LnhtbERPS2vCQBC+F/oflhG8NRsVbU1dRQSpj14a9T5mp0lo&#10;djZkt3H777tCobf5+J6zWAXTiJ46V1tWMEpSEMSF1TWXCs6n7dMLCOeRNTaWScEPOVgtHx8WmGl7&#10;4w/qc1+KGMIuQwWV920mpSsqMugS2xJH7tN2Bn2EXSl1h7cYbho5TtOZNFhzbKiwpU1FxVf+bRRM&#10;95d5/vx2fO8PuxDwsPdaXudKDQdh/QrCU/D/4j/3Tsf50wncn4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cC8MAAADcAAAADwAAAAAAAAAAAAAAAACYAgAAZHJzL2Rv&#10;d25yZXYueG1sUEsFBgAAAAAEAAQA9QAAAIgDAAAAAA==&#10;" fillcolor="#d1deee [660]" stroked="f">
                    <v:textbox>
                      <w:txbxContent>
                        <w:p w:rsidR="00832320" w:rsidRDefault="00832320" w:rsidP="00743807">
                          <w:pPr>
                            <w:pStyle w:val="NormalnyWeb"/>
                            <w:spacing w:before="0" w:beforeAutospacing="0" w:after="0" w:afterAutospacing="0" w:line="276" w:lineRule="auto"/>
                            <w:rPr>
                              <w:rFonts w:asciiTheme="minorHAnsi" w:hAnsiTheme="minorHAnsi"/>
                              <w:sz w:val="14"/>
                              <w:szCs w:val="14"/>
                            </w:rPr>
                          </w:pPr>
                          <w:r w:rsidRPr="005C5F59">
                            <w:rPr>
                              <w:rFonts w:asciiTheme="minorHAnsi" w:hAnsiTheme="minorHAnsi"/>
                              <w:sz w:val="14"/>
                              <w:szCs w:val="14"/>
                            </w:rPr>
                            <w:t xml:space="preserve">- </w:t>
                          </w:r>
                          <w:r w:rsidRPr="00743807">
                            <w:rPr>
                              <w:rFonts w:asciiTheme="minorHAnsi" w:hAnsiTheme="minorHAnsi"/>
                              <w:sz w:val="14"/>
                              <w:szCs w:val="14"/>
                            </w:rPr>
                            <w:t>wytwarzanie energii pochodzącej ze źródeł odnawialnych wraz z podłączeniem do sieci dystrybucyjnej/przesyłowej, w oparciu o moc instalowanej elektrowni/jednostki</w:t>
                          </w:r>
                        </w:p>
                        <w:p w:rsidR="00832320" w:rsidRPr="00743807" w:rsidRDefault="00832320" w:rsidP="00743807">
                          <w:pPr>
                            <w:pStyle w:val="NormalnyWeb"/>
                            <w:spacing w:before="0" w:beforeAutospacing="0" w:after="0" w:afterAutospacing="0" w:line="276" w:lineRule="auto"/>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projekty mające na celu efektywną dystrybucję ciepła z OZE</w:t>
                          </w:r>
                        </w:p>
                        <w:p w:rsidR="00832320" w:rsidRPr="00743807" w:rsidRDefault="00832320" w:rsidP="00743807">
                          <w:pPr>
                            <w:pStyle w:val="NormalnyWeb"/>
                            <w:spacing w:before="0" w:beforeAutospacing="0" w:after="0" w:afterAutospacing="0"/>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 xml:space="preserve"> inwestycje dotyczące sieci przesyłowych, umożliwiające przyłączenie jednostek wytwarzania energii elektrycznej ze źródeł odnawialnych do Krajowego Systemu Elektroenergetycznego</w:t>
                          </w:r>
                        </w:p>
                        <w:p w:rsidR="00832320" w:rsidRDefault="00832320" w:rsidP="00743807">
                          <w:pPr>
                            <w:pStyle w:val="NormalnyWeb"/>
                            <w:spacing w:before="0" w:beforeAutospacing="0" w:after="0" w:afterAutospacing="0"/>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 xml:space="preserve"> inwestycje mające na celu wykorzystanie wysokosprawnej kogeneracji energii elektrycznej i c</w:t>
                          </w:r>
                          <w:r>
                            <w:rPr>
                              <w:rFonts w:asciiTheme="minorHAnsi" w:hAnsiTheme="minorHAnsi"/>
                              <w:sz w:val="14"/>
                              <w:szCs w:val="14"/>
                            </w:rPr>
                            <w:t>iepła w jednostkach wytwarzania</w:t>
                          </w:r>
                        </w:p>
                        <w:p w:rsidR="00832320" w:rsidRPr="00743807" w:rsidRDefault="00832320" w:rsidP="00743807">
                          <w:pPr>
                            <w:pStyle w:val="NormalnyWeb"/>
                            <w:spacing w:before="0" w:beforeAutospacing="0" w:after="0" w:afterAutospacing="0"/>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 xml:space="preserve"> inwestycje mające na celu wykorzystanie wysokosprawnej kogeneracji z OZE w jednostkach wytwarzania energii elektrycznej i ciepła</w:t>
                          </w:r>
                        </w:p>
                        <w:p w:rsidR="00832320" w:rsidRPr="00743807" w:rsidRDefault="00832320" w:rsidP="00743807">
                          <w:pPr>
                            <w:pStyle w:val="NormalnyWeb"/>
                            <w:spacing w:before="0" w:beforeAutospacing="0" w:after="0" w:afterAutospacing="0"/>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 xml:space="preserve"> zmiana jednostek wytwarzania ciepła, w wyniku której jednostki te zostaną zastąpione jednostkami wytwarzania energii w wysokosprawnej kogeneracji</w:t>
                          </w:r>
                        </w:p>
                        <w:p w:rsidR="00832320" w:rsidRPr="005C5F59" w:rsidRDefault="00832320" w:rsidP="00743807">
                          <w:pPr>
                            <w:pStyle w:val="NormalnyWeb"/>
                            <w:spacing w:before="0" w:beforeAutospacing="0" w:after="200" w:afterAutospacing="0" w:line="276" w:lineRule="auto"/>
                            <w:rPr>
                              <w:rFonts w:asciiTheme="minorHAnsi" w:hAnsiTheme="minorHAnsi"/>
                              <w:sz w:val="14"/>
                              <w:szCs w:val="14"/>
                            </w:rPr>
                          </w:pPr>
                          <w:r>
                            <w:rPr>
                              <w:rFonts w:asciiTheme="minorHAnsi" w:hAnsiTheme="minorHAnsi"/>
                              <w:sz w:val="14"/>
                              <w:szCs w:val="14"/>
                            </w:rPr>
                            <w:t>-</w:t>
                          </w:r>
                          <w:r w:rsidRPr="00743807">
                            <w:rPr>
                              <w:rFonts w:asciiTheme="minorHAnsi" w:hAnsiTheme="minorHAnsi"/>
                              <w:sz w:val="14"/>
                              <w:szCs w:val="14"/>
                            </w:rPr>
                            <w:t>budowa przyłączeń do sieci ciepłowniczej i elektroenergetycznej (jako element kompleksowy projektu)</w:t>
                          </w:r>
                        </w:p>
                      </w:txbxContent>
                    </v:textbox>
                  </v:rect>
                  <v:rect id="Prostokąt 917" o:spid="_x0000_s1085" style="position:absolute;left:11050;top:31719;width:13107;height:312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Ef8MA&#10;AADcAAAADwAAAGRycy9kb3ducmV2LnhtbERPS2vCQBC+F/oflhG8NRtFbU1dRQSpj14a9T5mp0lo&#10;djZkt3H777tCobf5+J6zWAXTiJ46V1tWMEpSEMSF1TWXCs6n7dMLCOeRNTaWScEPOVgtHx8WmGl7&#10;4w/qc1+KGMIuQwWV920mpSsqMugS2xJH7tN2Bn2EXSl1h7cYbho5TtOZNFhzbKiwpU1FxVf+bRRM&#10;95d5/vx2fO8PuxDwsPdaXudKDQdh/QrCU/D/4j/3Tsf50wncn4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nEf8MAAADcAAAADwAAAAAAAAAAAAAAAACYAgAAZHJzL2Rv&#10;d25yZXYueG1sUEsFBgAAAAAEAAQA9QAAAIgDAAAAAA==&#10;" fillcolor="#d1deee [660]" stroked="f">
                    <v:textbox>
                      <w:txbxContent>
                        <w:p w:rsidR="00832320" w:rsidRDefault="00832320" w:rsidP="00743807">
                          <w:pPr>
                            <w:pStyle w:val="NormalnyWeb"/>
                            <w:spacing w:before="0" w:beforeAutospacing="0"/>
                            <w:rPr>
                              <w:rFonts w:asciiTheme="minorHAnsi" w:eastAsia="Times New Roman"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kompleksowa modernizacja energetyczna budynków użyteczności publicznej wraz z wymianą wyposażenia tych obiektów na energooszc</w:t>
                          </w:r>
                          <w:r>
                            <w:rPr>
                              <w:rFonts w:asciiTheme="minorHAnsi" w:eastAsia="Times New Roman" w:hAnsiTheme="minorHAnsi"/>
                              <w:sz w:val="14"/>
                              <w:szCs w:val="14"/>
                            </w:rPr>
                            <w:t>zędne</w:t>
                          </w:r>
                        </w:p>
                        <w:p w:rsidR="00832320" w:rsidRPr="00743807" w:rsidRDefault="00832320" w:rsidP="00743807">
                          <w:pPr>
                            <w:pStyle w:val="NormalnyWeb"/>
                            <w:spacing w:before="0" w:beforeAutospacing="0"/>
                            <w:rPr>
                              <w:rFonts w:asciiTheme="minorHAnsi" w:eastAsia="Times New Roman" w:hAnsiTheme="minorHAnsi"/>
                              <w:sz w:val="14"/>
                              <w:szCs w:val="14"/>
                            </w:rPr>
                          </w:pPr>
                          <w:r>
                            <w:rPr>
                              <w:rFonts w:asciiTheme="minorHAnsi" w:eastAsia="Times New Roman" w:hAnsiTheme="minorHAnsi"/>
                              <w:sz w:val="14"/>
                              <w:szCs w:val="14"/>
                            </w:rPr>
                            <w:t xml:space="preserve">- </w:t>
                          </w:r>
                          <w:r w:rsidRPr="00743807">
                            <w:rPr>
                              <w:rFonts w:asciiTheme="minorHAnsi" w:eastAsia="Times New Roman" w:hAnsiTheme="minorHAnsi"/>
                              <w:sz w:val="14"/>
                              <w:szCs w:val="14"/>
                            </w:rPr>
                            <w:t>kompleksowa modernizacja energetyczna budynków mieszkaniowych (wielorodzinnych budynków mieszkalnych) wraz z wymianą wyposażenia tych obiektów na energooszczędne</w:t>
                          </w:r>
                        </w:p>
                        <w:p w:rsidR="00832320" w:rsidRPr="005C5F59" w:rsidRDefault="00832320" w:rsidP="00743807">
                          <w:pPr>
                            <w:pStyle w:val="NormalnyWeb"/>
                            <w:spacing w:before="0" w:beforeAutospacing="0" w:after="0" w:afterAutospacing="0" w:line="276" w:lineRule="auto"/>
                            <w:rPr>
                              <w:rFonts w:asciiTheme="minorHAnsi"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wprowadzenie systemów zarządzania energią (np. smart metering) jako element kompleksowy projektu</w:t>
                          </w:r>
                        </w:p>
                      </w:txbxContent>
                    </v:textbox>
                  </v:rect>
                  <v:rect id="Prostokąt 918" o:spid="_x0000_s1086" style="position:absolute;left:27750;top:31713;width:16723;height:314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Vh5MIA&#10;AADcAAAADwAAAGRycy9kb3ducmV2LnhtbERPS2vCQBC+F/wPywi96UYhPlJXEaHURy+N7X2aHZNg&#10;djZkt3H9992C0Nt8fM9ZbYJpRE+dqy0rmIwTEMSF1TWXCj7Pr6MFCOeRNTaWScGdHGzWg6cVZtre&#10;+IP63JcihrDLUEHlfZtJ6YqKDLqxbYkjd7GdQR9hV0rd4S2Gm0ZOk2QmDdYcGypsaVdRcc1/jIL0&#10;8LXM52+n9/64DwGPB6/l91Kp52HYvoDwFPy/+OHe6zg/Te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VWHkwgAAANwAAAAPAAAAAAAAAAAAAAAAAJgCAABkcnMvZG93&#10;bnJldi54bWxQSwUGAAAAAAQABAD1AAAAhwMAAAAA&#10;" fillcolor="#d1deee [660]" stroked="f">
                    <v:textbox>
                      <w:txbxContent>
                        <w:p w:rsidR="00832320" w:rsidRPr="00743807" w:rsidRDefault="00832320" w:rsidP="00743807">
                          <w:pPr>
                            <w:pStyle w:val="NormalnyWeb"/>
                            <w:spacing w:before="0" w:beforeAutospacing="0" w:after="0"/>
                            <w:rPr>
                              <w:rFonts w:asciiTheme="minorHAnsi" w:eastAsia="Times New Roman" w:hAnsiTheme="minorHAnsi"/>
                              <w:sz w:val="14"/>
                              <w:szCs w:val="14"/>
                            </w:rPr>
                          </w:pPr>
                          <w:r w:rsidRPr="005C5F59">
                            <w:rPr>
                              <w:rFonts w:asciiTheme="minorHAnsi" w:eastAsia="Times New Roman" w:hAnsiTheme="minorHAnsi"/>
                              <w:sz w:val="14"/>
                              <w:szCs w:val="14"/>
                            </w:rPr>
                            <w:t xml:space="preserve">- </w:t>
                          </w:r>
                          <w:r w:rsidRPr="00743807">
                            <w:rPr>
                              <w:rFonts w:asciiTheme="minorHAnsi" w:eastAsia="Times New Roman" w:hAnsiTheme="minorHAnsi"/>
                              <w:sz w:val="14"/>
                              <w:szCs w:val="14"/>
                            </w:rPr>
                            <w:t>wymiana lub modernizacja źródeł ciepła (kryterium wsparcia – przekroczenie standardów jakości powietrza)</w:t>
                          </w:r>
                        </w:p>
                        <w:p w:rsidR="00832320" w:rsidRPr="00743807" w:rsidRDefault="00832320" w:rsidP="00743807">
                          <w:pPr>
                            <w:pStyle w:val="NormalnyWeb"/>
                            <w:spacing w:before="0" w:beforeAutospacing="0" w:after="0"/>
                            <w:rPr>
                              <w:rFonts w:asciiTheme="minorHAnsi" w:eastAsia="Times New Roman"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 xml:space="preserve"> zmniejszenie strat energii w dystrybucji ciepła w tym z OZE</w:t>
                          </w:r>
                        </w:p>
                        <w:p w:rsidR="00832320" w:rsidRPr="00743807" w:rsidRDefault="00832320" w:rsidP="00743807">
                          <w:pPr>
                            <w:pStyle w:val="NormalnyWeb"/>
                            <w:spacing w:before="0" w:beforeAutospacing="0" w:after="0"/>
                            <w:rPr>
                              <w:rFonts w:asciiTheme="minorHAnsi" w:eastAsia="Times New Roman"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przyłącza do sieci ciepłowniczej</w:t>
                          </w:r>
                        </w:p>
                        <w:p w:rsidR="00832320" w:rsidRPr="00743807" w:rsidRDefault="00832320" w:rsidP="00743807">
                          <w:pPr>
                            <w:pStyle w:val="NormalnyWeb"/>
                            <w:spacing w:before="0" w:beforeAutospacing="0" w:after="0"/>
                            <w:rPr>
                              <w:rFonts w:asciiTheme="minorHAnsi" w:eastAsia="Times New Roman"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 xml:space="preserve"> realizacja zintegrowanych strategii zrównoważenia energetycznego dla obszarów miejskich, w tym publicznych systemów oświetleniowych</w:t>
                          </w:r>
                        </w:p>
                        <w:p w:rsidR="00832320" w:rsidRPr="005C5F59" w:rsidRDefault="00832320" w:rsidP="00743807">
                          <w:pPr>
                            <w:pStyle w:val="NormalnyWeb"/>
                            <w:spacing w:before="0" w:beforeAutospacing="0" w:after="0" w:afterAutospacing="0" w:line="276" w:lineRule="auto"/>
                            <w:rPr>
                              <w:rFonts w:asciiTheme="minorHAnsi" w:hAnsiTheme="minorHAnsi"/>
                              <w:sz w:val="14"/>
                              <w:szCs w:val="14"/>
                            </w:rPr>
                          </w:pPr>
                          <w:r>
                            <w:rPr>
                              <w:rFonts w:asciiTheme="minorHAnsi" w:eastAsia="Times New Roman" w:hAnsiTheme="minorHAnsi"/>
                              <w:sz w:val="14"/>
                              <w:szCs w:val="14"/>
                            </w:rPr>
                            <w:t>-</w:t>
                          </w:r>
                          <w:r w:rsidRPr="00743807">
                            <w:rPr>
                              <w:rFonts w:asciiTheme="minorHAnsi" w:eastAsia="Times New Roman" w:hAnsiTheme="minorHAnsi"/>
                              <w:sz w:val="14"/>
                              <w:szCs w:val="14"/>
                            </w:rPr>
                            <w:t xml:space="preserve"> wsparcie dla projektów mogących wynikać z planów gospodarki niskoemisyjnej/ programów ograniczenia niskiej emisji dla poszczególnych typów obszarów miast i niekwalifikujących się do dofinansowania w ramach innego PI np. działania dotyczące oszczędności energii, inwestycje w zakresie budownictwa pasywnego</w:t>
                          </w:r>
                        </w:p>
                      </w:txbxContent>
                    </v:textbox>
                  </v:rect>
                  <v:shape id="Łącznik prosty ze strzałką 919" o:spid="_x0000_s1087" type="#_x0000_t32" style="position:absolute;left:17603;top:27113;width:98;height:46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65SsEAAADcAAAADwAAAGRycy9kb3ducmV2LnhtbERPTYvCMBC9C/sfwix403QV61KNsi6s&#10;iBdpXe9jM7bFZlKaqPXfG0HwNo/3OfNlZ2pxpdZVlhV8DSMQxLnVFRcK/vd/g28QziNrrC2Tgjs5&#10;WC4+enNMtL1xStfMFyKEsEtQQel9k0jp8pIMuqFtiAN3sq1BH2BbSN3iLYSbWo6iKJYGKw4NJTb0&#10;W1J+zi5GwXh6dKvTYTK6FNvxbrO2qyyNU6X6n93PDISnzr/FL/dGh/mTGJ7PhAv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zrlKwQAAANwAAAAPAAAAAAAAAAAAAAAA&#10;AKECAABkcnMvZG93bnJldi54bWxQSwUGAAAAAAQABAD5AAAAjwMAAAAA&#10;" strokecolor="#335a8a">
                    <v:stroke endarrow="open"/>
                  </v:shape>
                  <v:shape id="Łącznik prosty ze strzałką 920" o:spid="_x0000_s1088" type="#_x0000_t32" style="position:absolute;left:32431;top:27109;width:0;height:46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Ic0cMAAADcAAAADwAAAGRycy9kb3ducmV2LnhtbERPTWvCQBC9F/oflhF6azZG1BJdpSm0&#10;iJeSWO9jdkyC2dmQXWP677tCwds83uest6NpxUC9aywrmEYxCOLS6oYrBT+Hz9c3EM4ja2wtk4Jf&#10;crDdPD+tMdX2xjkNha9ECGGXooLa+y6V0pU1GXSR7YgDd7a9QR9gX0nd4y2Em1YmcbyQBhsODTV2&#10;9FFTeSmuRsFseXLZ+ThPrtV+9r37slmRL3KlXibj+wqEp9E/xP/unQ7z50u4PxMukJ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2CHNHDAAAA3AAAAA8AAAAAAAAAAAAA&#10;AAAAoQIAAGRycy9kb3ducmV2LnhtbFBLBQYAAAAABAAEAPkAAACRAwAAAAA=&#10;" strokecolor="#335a8a">
                    <v:stroke endarrow="open"/>
                  </v:shape>
                  <v:shape id="Łącznik prosty ze strzałką 921" o:spid="_x0000_s1089" type="#_x0000_t32" style="position:absolute;left:60203;top:27717;width:11;height:400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2Io8UAAADcAAAADwAAAGRycy9kb3ducmV2LnhtbESPT2vCQBDF7wW/wzKCt7pR8Q+pq6ig&#10;SC8l0d6n2TEJzc6G7Krpt+8cCr3N8N6895v1tneNelAXas8GJuMEFHHhbc2lgevl+LoCFSKyxcYz&#10;GfihANvN4GWNqfVPzuiRx1JJCIcUDVQxtqnWoajIYRj7lli0m+8cRlm7UtsOnxLuGj1NkoV2WLM0&#10;VNjSoaLiO787A7PlV9jfPufTe/k++zif/D7PFpkxo2G/ewMVqY//5r/rsxX8ud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B2Io8UAAADcAAAADwAAAAAAAAAA&#10;AAAAAAChAgAAZHJzL2Rvd25yZXYueG1sUEsFBgAAAAAEAAQA+QAAAJMDAAAAAA==&#10;" strokecolor="#335a8a">
                    <v:stroke endarrow="open"/>
                  </v:shape>
                  <v:rect id="Prostokąt 922" o:spid="_x0000_s1090" style="position:absolute;left:952;top:1823;width:8857;height:603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7/i8MA&#10;AADcAAAADwAAAGRycy9kb3ducmV2LnhtbERPTWvCQBC9C/0PyxR6000Fg0ZXEbElhxYxevA4ZMds&#10;anY2ZLcm/ffdQsHbPN7nrDaDbcSdOl87VvA6SUAQl07XXCk4n97GcxA+IGtsHJOCH/KwWT+NVphp&#10;1/OR7kWoRAxhn6ECE0KbSelLQxb9xLXEkbu6zmKIsKuk7rCP4baR0yRJpcWaY4PBlnaGylvxbRUM&#10;yWy77z/M/lan74vP4itP88NFqZfnYbsEEWgID/G/O9dx/mwBf8/EC+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C7/i8MAAADcAAAADwAAAAAAAAAAAAAAAACYAgAAZHJzL2Rv&#10;d25yZXYueG1sUEsFBgAAAAAEAAQA9QAAAIgDAAAAAA==&#10;" fillcolor="#8064a2 [3207]" stroked="f">
                    <v:textbox>
                      <w:txbxContent>
                        <w:p w:rsidR="00832320" w:rsidRPr="001A732E" w:rsidRDefault="00832320" w:rsidP="00424449">
                          <w:pPr>
                            <w:pStyle w:val="NormalnyWeb"/>
                            <w:spacing w:before="0" w:beforeAutospacing="0" w:after="0" w:afterAutospacing="0" w:line="276" w:lineRule="auto"/>
                            <w:jc w:val="center"/>
                            <w:rPr>
                              <w:rFonts w:asciiTheme="minorHAnsi" w:hAnsiTheme="minorHAnsi"/>
                              <w:b/>
                              <w:color w:val="FFFFFF" w:themeColor="background1"/>
                              <w:sz w:val="16"/>
                            </w:rPr>
                          </w:pPr>
                          <w:r w:rsidRPr="001A732E">
                            <w:rPr>
                              <w:rFonts w:asciiTheme="minorHAnsi" w:eastAsia="SimSun" w:hAnsiTheme="minorHAnsi"/>
                              <w:b/>
                              <w:color w:val="FFFFFF" w:themeColor="background1"/>
                              <w:sz w:val="16"/>
                            </w:rPr>
                            <w:t xml:space="preserve"> cele osi priorytetowej </w:t>
                          </w:r>
                        </w:p>
                      </w:txbxContent>
                    </v:textbox>
                  </v:rect>
                  <v:rect id="Prostokąt 923" o:spid="_x0000_s1091" style="position:absolute;left:952;top:15030;width:8857;height:1208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3uAcYA&#10;AADcAAAADwAAAGRycy9kb3ducmV2LnhtbESPT2vCQBDF7wW/wzJCL0E3sSAaXcU/FD21NHrxNmTH&#10;JJqdjdmtpt++WxB6m+G9eb8382VnanGn1lWWFSTDGARxbnXFhYLj4X0wAeE8ssbaMin4IQfLRe9l&#10;jqm2D/6ie+YLEULYpaig9L5JpXR5SQbd0DbEQTvb1qAPa1tI3eIjhJtajuJ4LA1WHAglNrQpKb9m&#10;3yZAoltyKT6jdRI1H9spn3b75G2n1Gu/W81AeOr8v/l5vdeh/nQEf8+ECe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3uAcYAAADcAAAADwAAAAAAAAAAAAAAAACYAgAAZHJz&#10;L2Rvd25yZXYueG1sUEsFBgAAAAAEAAQA9QAAAIsDAAAAAA==&#10;" fillcolor="#76923c [2406]" stroked="f">
                    <v:textbox>
                      <w:txbxContent>
                        <w:p w:rsidR="00832320" w:rsidRPr="001A732E" w:rsidRDefault="00832320" w:rsidP="00424449">
                          <w:pPr>
                            <w:pStyle w:val="NormalnyWeb"/>
                            <w:spacing w:before="0" w:beforeAutospacing="0" w:after="0" w:afterAutospacing="0" w:line="276" w:lineRule="auto"/>
                            <w:jc w:val="center"/>
                            <w:rPr>
                              <w:color w:val="FFFFFF" w:themeColor="background1"/>
                            </w:rPr>
                          </w:pPr>
                          <w:r w:rsidRPr="001A732E">
                            <w:rPr>
                              <w:rFonts w:ascii="Calibri" w:eastAsia="SimSun" w:hAnsi="Calibri"/>
                              <w:b/>
                              <w:bCs/>
                              <w:color w:val="FFFFFF" w:themeColor="background1"/>
                              <w:sz w:val="16"/>
                              <w:szCs w:val="16"/>
                            </w:rPr>
                            <w:t>cele szczegółowe priorytetów inwestycyjnych</w:t>
                          </w:r>
                        </w:p>
                      </w:txbxContent>
                    </v:textbox>
                  </v:rect>
                  <v:rect id="Prostokąt 924" o:spid="_x0000_s1092" style="position:absolute;left:1141;top:31719;width:8852;height:312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7Bg8AA&#10;AADcAAAADwAAAGRycy9kb3ducmV2LnhtbERPzYrCMBC+L/gOYQRva2oV0WoUERU9rvoAYzO2xWZS&#10;m1jr2xtB2Nt8fL8zX7amFA3VrrCsYNCPQBCnVhecKTiftr8TEM4jaywtk4IXOVguOj9zTLR98h81&#10;R5+JEMIuQQW591UipUtzMuj6tiIO3NXWBn2AdSZ1jc8QbkoZR9FYGiw4NORY0Tqn9HZ8GAU8yian&#10;exPF7e4y3m0P8Xl1vW+U6nXb1QyEp9b/i7/uvQ7zp0P4PBMu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17Bg8AAAADcAAAADwAAAAAAAAAAAAAAAACYAgAAZHJzL2Rvd25y&#10;ZXYueG1sUEsFBgAAAAAEAAQA9QAAAIUDAAAAAA==&#10;" fillcolor="#366092 [3204]" stroked="f">
                    <v:textbox>
                      <w:txbxContent>
                        <w:p w:rsidR="00832320" w:rsidRDefault="00832320" w:rsidP="00424449">
                          <w:pPr>
                            <w:pStyle w:val="NormalnyWeb"/>
                            <w:spacing w:before="0" w:beforeAutospacing="0" w:after="0" w:afterAutospacing="0" w:line="276" w:lineRule="auto"/>
                            <w:jc w:val="center"/>
                          </w:pPr>
                          <w:r>
                            <w:rPr>
                              <w:rFonts w:ascii="Calibri" w:eastAsia="SimSun" w:hAnsi="Calibri"/>
                              <w:b/>
                              <w:bCs/>
                              <w:color w:val="FCFCFC"/>
                              <w:sz w:val="16"/>
                              <w:szCs w:val="16"/>
                            </w:rPr>
                            <w:t>typy projektów</w:t>
                          </w:r>
                        </w:p>
                      </w:txbxContent>
                    </v:textbox>
                  </v:rect>
                  <v:rect id="Prostokąt 925" o:spid="_x0000_s1093" style="position:absolute;left:44481;top:15028;width:9430;height:1258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Aij8MA&#10;AADcAAAADwAAAGRycy9kb3ducmV2LnhtbERPS4vCMBC+C/6HMII3TZVl0WoUEQXdw+ILwdvQjG2x&#10;mZQm23b99ZsFwdt8fM+ZL1tTiJoql1tWMBpGIIgTq3NOFVzO28EEhPPIGgvLpOCXHCwX3c4cY20b&#10;PlJ98qkIIexiVJB5X8ZSuiQjg25oS+LA3W1l0AdYpVJX2IRwU8hxFH1KgzmHhgxLWmeUPE4/RsGh&#10;2Y531/p5/c6f96/Niuyt2Vul+r12NQPhqfVv8cu902H+9AP+nw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Aij8MAAADcAAAADwAAAAAAAAAAAAAAAACYAgAAZHJzL2Rv&#10;d25yZXYueG1sUEsFBgAAAAAEAAQA9QAAAIgDAAAAAA==&#10;" fillcolor="#c2d69b" stroked="f">
                    <v:textbox>
                      <w:txbxContent>
                        <w:p w:rsidR="00832320" w:rsidRDefault="00832320" w:rsidP="00424449">
                          <w:pPr>
                            <w:pStyle w:val="NormalnyWeb"/>
                            <w:spacing w:before="0" w:beforeAutospacing="0" w:after="200" w:afterAutospacing="0" w:line="276" w:lineRule="auto"/>
                            <w:jc w:val="center"/>
                          </w:pPr>
                          <w:r w:rsidRPr="00805035">
                            <w:rPr>
                              <w:rFonts w:ascii="Calibri" w:eastAsia="Calibri" w:hAnsi="Calibri"/>
                              <w:sz w:val="16"/>
                              <w:szCs w:val="16"/>
                            </w:rPr>
                            <w:t xml:space="preserve">Wzrost produkcji energii pochodzącej z wysokosprawnej kogeneracji </w:t>
                          </w:r>
                          <w:r>
                            <w:rPr>
                              <w:rFonts w:ascii="Calibri" w:eastAsia="Calibri" w:hAnsi="Calibri"/>
                              <w:sz w:val="16"/>
                              <w:szCs w:val="16"/>
                            </w:rPr>
                            <w:t>(4.1)</w:t>
                          </w:r>
                        </w:p>
                      </w:txbxContent>
                    </v:textbox>
                  </v:rect>
                  <v:shape id="Łącznik prosty ze strzałką 926" o:spid="_x0000_s1094" type="#_x0000_t32" style="position:absolute;left:49196;top:7196;width:2572;height:783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Wdp8IAAADcAAAADwAAAGRycy9kb3ducmV2LnhtbERPTYvCMBC9C/sfwix403QVde0aZRUU&#10;8SLt6n1sxrZsMylN1PrvjSB4m8f7nNmiNZW4UuNKywq++hEI4szqknMFh7917xuE88gaK8uk4E4O&#10;FvOPzgxjbW+c0DX1uQgh7GJUUHhfx1K6rCCDrm9r4sCdbWPQB9jkUjd4C+GmkoMoGkuDJYeGAmta&#10;FZT9pxejYDg5ueX5OBpc8t1wv93YZZqME6W6n+3vDwhPrX+LX+6tDvOnI3g+Ey6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aWdp8IAAADcAAAADwAAAAAAAAAAAAAA&#10;AAChAgAAZHJzL2Rvd25yZXYueG1sUEsFBgAAAAAEAAQA+QAAAJADAAAAAA==&#10;" strokecolor="#335a8a">
                    <v:stroke endarrow="open"/>
                  </v:shape>
                  <v:shape id="Łącznik prosty ze strzałką 927" o:spid="_x0000_s1095" type="#_x0000_t32" style="position:absolute;left:26152;top:7199;width:23044;height:7829;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ksD8AAAADcAAAADwAAAGRycy9kb3ducmV2LnhtbERPTUsDMRC9C/6HMEJvNlGh1LVpUaG4&#10;13Y9eBw2Y7J0M1mS2F3765tCobd5vM9ZbSbfiyPF1AXW8DRXIIjbYDq2Gr6b7eMSRMrIBvvApOGf&#10;EmzW93crrEwYeUfHfbaihHCqUIPLeaikTK0jj2keBuLC/YboMRcYrTQRxxLue/ms1EJ67Lg0OBzo&#10;01F72P95DdEM25p8c6qVci/268P+NIdR69nD9P4GItOUb+KruzZl/usCLs+UC+T6D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lZLA/AAAAA3AAAAA8AAAAAAAAAAAAAAAAA&#10;oQIAAGRycy9kb3ducmV2LnhtbFBLBQYAAAAABAAEAPkAAACOAwAAAAA=&#10;" strokecolor="#335a8a">
                    <v:stroke endarrow="open"/>
                  </v:shape>
                  <v:shape id="Łącznik prosty ze strzałką 928" o:spid="_x0000_s1096" type="#_x0000_t32" style="position:absolute;left:49196;top:27613;width:11170;height:411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WJlMAAAADcAAAADwAAAGRycy9kb3ducmV2LnhtbERPTUsDMRC9C/6HMAVvNqlC1W3TokJx&#10;r+168DhspsnSzWRJYnf115tCwds83uest5PvxZli6gJrWMwVCOI2mI6ths9md/8MImVkg31g0vBD&#10;Cbab25s1ViaMvKfzIVtRQjhVqMHlPFRSptaRxzQPA3HhjiF6zAVGK03EsYT7Xj4otZQeOy4NDgd6&#10;d9SeDt9eQzTDribf/NZKuUf78Wa/mtOo9d1sel2ByDTlf/HVXZsy/+UJLs+UC+Tm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YViZTAAAAA3AAAAA8AAAAAAAAAAAAAAAAA&#10;oQIAAGRycy9kb3ducmV2LnhtbFBLBQYAAAAABAAEAPkAAACOAwAAAAA=&#10;" strokecolor="#335a8a">
                    <v:stroke endarrow="open"/>
                  </v:shape>
                  <w10:wrap type="none"/>
                  <w10:anchorlock/>
                </v:group>
              </w:pict>
            </w:r>
          </w:p>
        </w:tc>
      </w:tr>
    </w:tbl>
    <w:p w:rsidR="00424449" w:rsidRPr="00424449" w:rsidRDefault="00424449" w:rsidP="00424449">
      <w:pPr>
        <w:jc w:val="center"/>
        <w:rPr>
          <w:i/>
        </w:rPr>
      </w:pPr>
      <w:r w:rsidRPr="00424449">
        <w:rPr>
          <w:i/>
        </w:rPr>
        <w:t>Źródło: Opracowanie własne.</w:t>
      </w:r>
    </w:p>
    <w:p w:rsidR="004B348C" w:rsidRDefault="00424449" w:rsidP="004B348C">
      <w:pPr>
        <w:pStyle w:val="Nagwek4"/>
      </w:pPr>
      <w:r w:rsidRPr="00424449">
        <w:lastRenderedPageBreak/>
        <w:t xml:space="preserve">PI 4.1 </w:t>
      </w:r>
      <w:r w:rsidR="004B348C">
        <w:t>Wspieranie wytwarzania i dystrybucji energii pochodzącej ze źródeł odnawialnych</w:t>
      </w:r>
    </w:p>
    <w:p w:rsidR="00424449" w:rsidRDefault="00424449" w:rsidP="00424449">
      <w:r w:rsidRPr="00424449">
        <w:t xml:space="preserve">Celem szczegółowym </w:t>
      </w:r>
      <w:r w:rsidR="004B348C">
        <w:t>PI</w:t>
      </w:r>
      <w:r w:rsidRPr="00424449">
        <w:t xml:space="preserve"> 4.1 jest </w:t>
      </w:r>
      <w:r w:rsidRPr="00424449">
        <w:rPr>
          <w:i/>
        </w:rPr>
        <w:t>wzrost wykorzystania potencjału odnawialnych źródeł energii w</w:t>
      </w:r>
      <w:r w:rsidR="002F7C58">
        <w:rPr>
          <w:i/>
        </w:rPr>
        <w:t> </w:t>
      </w:r>
      <w:r w:rsidRPr="00424449">
        <w:rPr>
          <w:i/>
        </w:rPr>
        <w:t xml:space="preserve"> generacji rozproszonej</w:t>
      </w:r>
      <w:r w:rsidRPr="00424449">
        <w:t>. Zaproponowane w programie brzmienie celu należy ocenić jako prawidłowe i zgodne z logiką interwencji całej osi priorytetowej. W uszczegółowieniu opisu celu słusznie wskazuje się na inne kluczowe rezultaty interwencji w </w:t>
      </w:r>
      <w:r w:rsidR="004B348C">
        <w:t xml:space="preserve">PI </w:t>
      </w:r>
      <w:r w:rsidRPr="00424449">
        <w:t xml:space="preserve"> 4.1 - dotyczy to przede wszystkim oczekiwanego zmniejszenia poziomu emisji gazów cieplarnianych, poprawy bezpieczeństwa energetycznego regionu (choć możliwe do osiągnięcia efekty rzeczowe nie przełożą się raczej na zauważalną zmianę</w:t>
      </w:r>
      <w:r>
        <w:t xml:space="preserve"> w tym zakresie), a także szczególnie dużej roli, jaką planowane działania mogą odegrać na terenach wiejskich. </w:t>
      </w:r>
    </w:p>
    <w:p w:rsidR="00424449" w:rsidRDefault="00424449" w:rsidP="00424449">
      <w:r>
        <w:t>Zakres interwencji w PI 4.1 został sformułowany prawidłowo: należy oczekiwać, że zaproponowane typy projektów przyczynią się do realizacji celu szczegółowego. Prawidłowym rozwiązaniem jest włączenie do katalogu przedsięwzięć wsparcia przyłączy instalacji OZE do Krajowego Systemu Elektroenergetycznego. Dostępne analizy sugerują, że odmowy wydania warunków przyłączania przez operatorów sieci (nawet w przypadku ekonomicznego uzasadnienia samej instalacji) są poważną barierą w rozwoju energetyki wykorzystującej źródła odnawialne.</w:t>
      </w:r>
      <w:r>
        <w:rPr>
          <w:rStyle w:val="Odwoanieprzypisudolnego"/>
        </w:rPr>
        <w:footnoteReference w:id="20"/>
      </w:r>
      <w:r>
        <w:t xml:space="preserve"> Korzystnie należy również ocenić wstępne dopuszczenie wykorzystania w tym priorytecie instrumentów finansowych - wyniki dostępnych badań wskazują, że w przypadku wsparcia instalacji OZE występuje stosunkowo duże ryzyko wystąpienia tzw. efektu jałowej straty.</w:t>
      </w:r>
      <w:r>
        <w:rPr>
          <w:rStyle w:val="Odwoanieprzypisudolnego"/>
        </w:rPr>
        <w:footnoteReference w:id="21"/>
      </w:r>
    </w:p>
    <w:p w:rsidR="00424449" w:rsidRPr="00820AF8" w:rsidRDefault="00424449" w:rsidP="00424449">
      <w:r w:rsidRPr="00820AF8">
        <w:t>Podczas prac nad dokumentami wykonawczymi, warto ponadto mieć na uwadze potencjalnie problemy związane z wdrażaniem interwencji, w szczególności dotyczące formuły wsparcia budowy i</w:t>
      </w:r>
      <w:r w:rsidR="002F7C58">
        <w:t> </w:t>
      </w:r>
      <w:r w:rsidRPr="00820AF8">
        <w:t xml:space="preserve"> modernizacji sieci elektroenergetycznych. Doświadczenia PO IŚ 2007-2013 wskazują, że generalnie nie sprawdza się punktowe wsparcie przeznaczone pod kątem konkretnych instalacji.</w:t>
      </w:r>
      <w:r w:rsidRPr="00820AF8">
        <w:rPr>
          <w:rStyle w:val="Odwoanieprzypisudolnego"/>
        </w:rPr>
        <w:footnoteReference w:id="22"/>
      </w:r>
      <w:r w:rsidRPr="00820AF8">
        <w:t xml:space="preserve"> Wartym rozważenia rozwiązaniem może uzgodnienie podejścia z operatorami sieci dystrybucyjnych.</w:t>
      </w:r>
      <w:r w:rsidRPr="00820AF8">
        <w:rPr>
          <w:rStyle w:val="Odwoanieprzypisudolnego"/>
        </w:rPr>
        <w:footnoteReference w:id="23"/>
      </w:r>
    </w:p>
    <w:p w:rsidR="00424449" w:rsidRDefault="00424449" w:rsidP="00424449">
      <w:pPr>
        <w:pStyle w:val="Nagwek4"/>
      </w:pPr>
      <w:r>
        <w:t xml:space="preserve">PI 4.3 </w:t>
      </w:r>
      <w:r w:rsidR="004B348C">
        <w:t>Wspieranie efektywności energetycznej, inteligentnego zarządzania energią i wykorzyst</w:t>
      </w:r>
      <w:r w:rsidR="004C4DDD">
        <w:t>yw</w:t>
      </w:r>
      <w:r w:rsidR="004B348C">
        <w:t>ania odnawialnych źródeł energii w infrastrukturze publicznej, w tym w budynkach publicznych, i w sektorze mieszkaniowym</w:t>
      </w:r>
    </w:p>
    <w:p w:rsidR="00424449" w:rsidRDefault="00424449" w:rsidP="00424449">
      <w:r>
        <w:t xml:space="preserve">Cel szczegółowy dla </w:t>
      </w:r>
      <w:r w:rsidR="004B348C">
        <w:t>PI</w:t>
      </w:r>
      <w:r>
        <w:t xml:space="preserve"> 4.3 określono jako </w:t>
      </w:r>
      <w:r w:rsidRPr="00C07297">
        <w:rPr>
          <w:i/>
        </w:rPr>
        <w:t>poprawa efektywności energetycznej w sektorze mieszkaniowym i budynkach użyteczności publicznej</w:t>
      </w:r>
      <w:r>
        <w:t>. Sformułowanie to należy ocenić jako prawidłowe - tj. logicznie powiązane i uszczegóławiające nadrzędny cel wyznaczony na poziomie osi. Zgodnie z dostępnymi analizami sektor publiczny i mieszkaniowy posiada największy potencjał oszczędności energii oraz - w konsekwencji - zmniejszenia emisyjności gospodarki. Jednocześnie należy jednak pamiętać o tym, że tak zdefiniowany cel jest bardzo trudny do kwantyfikacji – w</w:t>
      </w:r>
      <w:r w:rsidR="002F7C58">
        <w:t> </w:t>
      </w:r>
      <w:r>
        <w:t xml:space="preserve"> źródłach statystyki publicznej brakuje wiarygodnych danych na ten temat. </w:t>
      </w:r>
    </w:p>
    <w:p w:rsidR="00424449" w:rsidRDefault="00424449" w:rsidP="00424449">
      <w:r>
        <w:lastRenderedPageBreak/>
        <w:t>Podczas prac nad uszczegółowieniem programu operacyjnego sugeruje się ponadto uwzględnienie następujących zagadnień:</w:t>
      </w:r>
    </w:p>
    <w:p w:rsidR="00424449" w:rsidRPr="000954A9" w:rsidRDefault="00424449" w:rsidP="000965A8">
      <w:pPr>
        <w:pStyle w:val="Akapitzlist"/>
        <w:numPr>
          <w:ilvl w:val="0"/>
          <w:numId w:val="9"/>
        </w:numPr>
        <w:ind w:left="714" w:hanging="357"/>
        <w:contextualSpacing w:val="0"/>
      </w:pPr>
      <w:r w:rsidRPr="000954A9">
        <w:t xml:space="preserve">W tekście wspomina się o tym, że </w:t>
      </w:r>
      <w:r w:rsidRPr="000954A9">
        <w:rPr>
          <w:i/>
        </w:rPr>
        <w:t>bardzo ważna jest świadomość społeczeństwa w zakresie...</w:t>
      </w:r>
      <w:r w:rsidRPr="000954A9">
        <w:t xml:space="preserve"> - takie sformułowanie nie ma przełożenia na zaproponowany w priorytecie zakres interwencji. Generalnie, działania związane z podnoszeniem świadomości energetycznej mieszkańców są uzasadnione,</w:t>
      </w:r>
      <w:r w:rsidRPr="000954A9">
        <w:rPr>
          <w:rStyle w:val="Odwoanieprzypisudolnego"/>
        </w:rPr>
        <w:footnoteReference w:id="24"/>
      </w:r>
      <w:r w:rsidRPr="000954A9">
        <w:t xml:space="preserve"> należy jednak doprecyzować koordynację działań z w tym zakresie z edukacją ekologiczną przewidzianą w priorytecie inwestycyjnym 6.4.</w:t>
      </w:r>
    </w:p>
    <w:p w:rsidR="00424449" w:rsidRPr="000954A9" w:rsidRDefault="00424449" w:rsidP="000965A8">
      <w:pPr>
        <w:pStyle w:val="Akapitzlist"/>
        <w:numPr>
          <w:ilvl w:val="0"/>
          <w:numId w:val="9"/>
        </w:numPr>
        <w:ind w:left="714" w:hanging="357"/>
        <w:contextualSpacing w:val="0"/>
      </w:pPr>
      <w:r w:rsidRPr="000954A9">
        <w:t>Podczas prac nad uszczegółowieniem programu, w szczególności nad kryteriami wyboru projektów, należy pamiętać o konieczności silnego wyeksponowania ekonomicznego wymiaru projektów. Wsparte inwestycje powinny bowiem charakteryzować się bowiem nie tylko zadowalającym efektem ekologicznym (np. wielkością unikniętych emisji), ale także opłacalnością - racjonalnie krótkim okresem zwrotu. Badania ewaluacyjne wskazują na duże problemy instrumentów polityki spójności w tym zakresie.</w:t>
      </w:r>
      <w:r w:rsidRPr="000954A9">
        <w:rPr>
          <w:rStyle w:val="Odwoanieprzypisudolnego"/>
        </w:rPr>
        <w:footnoteReference w:id="25"/>
      </w:r>
    </w:p>
    <w:p w:rsidR="004B348C" w:rsidRPr="004B348C" w:rsidRDefault="00424449" w:rsidP="004B348C">
      <w:pPr>
        <w:pStyle w:val="Nagwek4"/>
      </w:pPr>
      <w:r>
        <w:t xml:space="preserve">PI 4.5 </w:t>
      </w:r>
      <w:r w:rsidRPr="00343DD5">
        <w:t>Promowanie strategii</w:t>
      </w:r>
      <w:r w:rsidR="004B348C">
        <w:t xml:space="preserve"> niskoemisyjnych dla wszystkich rodzajów terytoriów, w szczególności dla obszarów miejskich, w tym wspieranie zrównoważonej multimodalnej mobilności miejskiej i działań adaptacyjnych mających oddziaływanie łagodzące na zmiany klimatu</w:t>
      </w:r>
    </w:p>
    <w:p w:rsidR="00424449" w:rsidRDefault="00424449" w:rsidP="00424449">
      <w:r>
        <w:t xml:space="preserve">Celem szczegółowym </w:t>
      </w:r>
      <w:r w:rsidR="004B348C">
        <w:t>PI</w:t>
      </w:r>
      <w:r>
        <w:t xml:space="preserve"> 4.5 jest </w:t>
      </w:r>
      <w:r w:rsidRPr="00DD5F90">
        <w:rPr>
          <w:i/>
        </w:rPr>
        <w:t>ograniczenie emisyjności ośrodków miejskich województwa podkarpackiego</w:t>
      </w:r>
      <w:r>
        <w:t xml:space="preserve">, tym samym odnosi się on wprost do zakresu celu tematycznego oraz nadrzędnego rezultatu zdefiniowanego w Umowie Partnerstwa. W uzasadnieniu/opisie celu szczegółowego słusznie zwrócono uwagę także na inne oczekiwane rezultaty interwencji. Trafnie podkreślono, że przewidziane działania przyczynią się do zmniejszenia skali zjawiska tzw. niskiej emisji, co docelowo pozwoli na poprawę jakości powietrza w regionie oraz poprawi atrakcyjność przestrzeni miejskiej. </w:t>
      </w:r>
    </w:p>
    <w:p w:rsidR="00424449" w:rsidRDefault="00424449" w:rsidP="00424449">
      <w:r>
        <w:t xml:space="preserve">Zaproponowany szczegółowy zakres interwencji dobrze odpowiada przyjętemu celowi szczegółowemu: jego osiągnięcie będzie możliwe przyłączaniu odbiorców do sieci ciepłowniczej wymianie źródeł ciepła, a także poprawie efektywności oświetlenia zewnętrznego. </w:t>
      </w:r>
      <w:r w:rsidRPr="000954A9">
        <w:t>W programie słusznie przewidziano wsparcie dla wymiany indywidualnych źródeł ciepła na obszarach, w których stwierdzono przekroczenie standardów jakości powietrza. Należy przemyśleć, jak działania tego typu będą mogły być wdrażane w praktyce - jednym z możliwych rozwiązań jest realizacja pakietowych przedsięwzięć (być może w formule ZIT/RIT), w których partnerem mogłyby być jedn</w:t>
      </w:r>
      <w:r>
        <w:t>ostki samorządu terytorialnego.</w:t>
      </w:r>
    </w:p>
    <w:p w:rsidR="00424449" w:rsidRDefault="00424449" w:rsidP="00424449">
      <w:pPr>
        <w:pStyle w:val="Nagwek3"/>
      </w:pPr>
      <w:r>
        <w:t>Ocena wskaźników</w:t>
      </w:r>
    </w:p>
    <w:p w:rsidR="00424449" w:rsidRDefault="00424449" w:rsidP="00424449">
      <w:pPr>
        <w:pStyle w:val="Nagwek4"/>
      </w:pPr>
      <w:r>
        <w:t>Wskaźniki rezultatu</w:t>
      </w:r>
    </w:p>
    <w:p w:rsidR="00424449" w:rsidRDefault="00424449" w:rsidP="00424449">
      <w:r>
        <w:t xml:space="preserve">Wskaźniki rezultatu dobrze odpowiadają oczekiwanym rezultatom interwencji. </w:t>
      </w:r>
    </w:p>
    <w:p w:rsidR="00424449" w:rsidRDefault="00424449" w:rsidP="00424449">
      <w:pPr>
        <w:pStyle w:val="Legenda"/>
        <w:keepNext/>
        <w:spacing w:after="120"/>
      </w:pPr>
      <w:r>
        <w:lastRenderedPageBreak/>
        <w:t xml:space="preserve">Tabela </w:t>
      </w:r>
      <w:r w:rsidR="001B04AC">
        <w:fldChar w:fldCharType="begin"/>
      </w:r>
      <w:r w:rsidR="008E1D74">
        <w:instrText xml:space="preserve"> SEQ Tabela \* ARABIC </w:instrText>
      </w:r>
      <w:r w:rsidR="001B04AC">
        <w:fldChar w:fldCharType="separate"/>
      </w:r>
      <w:r w:rsidR="00832320">
        <w:rPr>
          <w:noProof/>
        </w:rPr>
        <w:t>13</w:t>
      </w:r>
      <w:r w:rsidR="001B04AC">
        <w:rPr>
          <w:noProof/>
        </w:rPr>
        <w:fldChar w:fldCharType="end"/>
      </w:r>
      <w:r>
        <w:t>. Oś priorytetowa III – ocena wskaźników</w:t>
      </w:r>
    </w:p>
    <w:tbl>
      <w:tblPr>
        <w:tblStyle w:val="Tabela-Siatka"/>
        <w:tblW w:w="5001"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1299"/>
        <w:gridCol w:w="2230"/>
        <w:gridCol w:w="1588"/>
        <w:gridCol w:w="1804"/>
        <w:gridCol w:w="2367"/>
      </w:tblGrid>
      <w:tr w:rsidR="00424449" w:rsidRPr="00CA7FA3" w:rsidTr="00424449">
        <w:trPr>
          <w:tblHeader/>
        </w:trPr>
        <w:tc>
          <w:tcPr>
            <w:tcW w:w="1299" w:type="dxa"/>
            <w:shd w:val="clear" w:color="auto" w:fill="366092" w:themeFill="accent1"/>
          </w:tcPr>
          <w:p w:rsidR="00424449" w:rsidRPr="00CA7FA3" w:rsidRDefault="00424449" w:rsidP="00424449">
            <w:pPr>
              <w:spacing w:before="120" w:after="120"/>
              <w:jc w:val="center"/>
              <w:rPr>
                <w:b/>
                <w:color w:val="FFFFFF" w:themeColor="background1"/>
                <w:sz w:val="20"/>
              </w:rPr>
            </w:pPr>
            <w:r>
              <w:rPr>
                <w:b/>
                <w:color w:val="FFFFFF" w:themeColor="background1"/>
                <w:sz w:val="20"/>
              </w:rPr>
              <w:t>typ wskaźnika</w:t>
            </w:r>
          </w:p>
        </w:tc>
        <w:tc>
          <w:tcPr>
            <w:tcW w:w="2230"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wskaźnik rezultatu</w:t>
            </w:r>
          </w:p>
        </w:tc>
        <w:tc>
          <w:tcPr>
            <w:tcW w:w="1588"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priorytety inwestycyjne</w:t>
            </w:r>
          </w:p>
        </w:tc>
        <w:tc>
          <w:tcPr>
            <w:tcW w:w="1805"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Pr>
                <w:b/>
                <w:color w:val="FFFFFF" w:themeColor="background1"/>
                <w:sz w:val="20"/>
              </w:rPr>
              <w:t>ocena doboru wskaźnika</w:t>
            </w:r>
          </w:p>
        </w:tc>
        <w:tc>
          <w:tcPr>
            <w:tcW w:w="2368"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Pr>
                <w:b/>
                <w:color w:val="FFFFFF" w:themeColor="background1"/>
                <w:sz w:val="20"/>
              </w:rPr>
              <w:t>ocena oszacowanie</w:t>
            </w:r>
          </w:p>
        </w:tc>
      </w:tr>
      <w:tr w:rsidR="00424449" w:rsidTr="00424449">
        <w:tc>
          <w:tcPr>
            <w:tcW w:w="1299" w:type="dxa"/>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rezultat strategiczny</w:t>
            </w:r>
          </w:p>
        </w:tc>
        <w:tc>
          <w:tcPr>
            <w:tcW w:w="2230" w:type="dxa"/>
            <w:shd w:val="clear" w:color="auto" w:fill="E6E6E6" w:themeFill="background1" w:themeFillShade="E6"/>
            <w:vAlign w:val="center"/>
          </w:tcPr>
          <w:p w:rsidR="00424449" w:rsidRPr="006916BB" w:rsidRDefault="00424449" w:rsidP="00424449">
            <w:pPr>
              <w:spacing w:before="60" w:after="60"/>
              <w:jc w:val="center"/>
              <w:rPr>
                <w:i/>
                <w:sz w:val="20"/>
              </w:rPr>
            </w:pPr>
            <w:r w:rsidRPr="00805035">
              <w:rPr>
                <w:i/>
                <w:sz w:val="20"/>
              </w:rPr>
              <w:t>Udział OZE w produkcji energii elektrycznej ogółem</w:t>
            </w:r>
          </w:p>
        </w:tc>
        <w:tc>
          <w:tcPr>
            <w:tcW w:w="1588" w:type="dxa"/>
            <w:vMerge w:val="restart"/>
            <w:vAlign w:val="center"/>
          </w:tcPr>
          <w:p w:rsidR="00424449" w:rsidRPr="00CA7FA3" w:rsidRDefault="00424449" w:rsidP="00424449">
            <w:pPr>
              <w:spacing w:before="120" w:after="120"/>
              <w:jc w:val="center"/>
              <w:rPr>
                <w:sz w:val="20"/>
              </w:rPr>
            </w:pPr>
            <w:r>
              <w:rPr>
                <w:sz w:val="20"/>
              </w:rPr>
              <w:t>4.1</w:t>
            </w:r>
          </w:p>
        </w:tc>
        <w:tc>
          <w:tcPr>
            <w:tcW w:w="1805" w:type="dxa"/>
            <w:vAlign w:val="center"/>
          </w:tcPr>
          <w:p w:rsidR="00424449" w:rsidRPr="00CA7FA3"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vMerge w:val="restart"/>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rezultat bezpośredni</w:t>
            </w:r>
          </w:p>
        </w:tc>
        <w:tc>
          <w:tcPr>
            <w:tcW w:w="2230" w:type="dxa"/>
            <w:shd w:val="clear" w:color="auto" w:fill="E6E6E6" w:themeFill="background1" w:themeFillShade="E6"/>
            <w:vAlign w:val="center"/>
          </w:tcPr>
          <w:p w:rsidR="00424449" w:rsidRPr="006916BB" w:rsidRDefault="00424449" w:rsidP="00424449">
            <w:pPr>
              <w:spacing w:before="60" w:after="60"/>
              <w:jc w:val="center"/>
              <w:rPr>
                <w:i/>
                <w:sz w:val="20"/>
              </w:rPr>
            </w:pPr>
            <w:r w:rsidRPr="006916BB">
              <w:rPr>
                <w:i/>
                <w:sz w:val="20"/>
              </w:rPr>
              <w:t>Dodatkowa zdolność wytwarzania energii odnawialnej</w:t>
            </w:r>
          </w:p>
        </w:tc>
        <w:tc>
          <w:tcPr>
            <w:tcW w:w="1588" w:type="dxa"/>
            <w:vMerge/>
            <w:vAlign w:val="center"/>
          </w:tcPr>
          <w:p w:rsidR="00424449" w:rsidRPr="00CA7FA3" w:rsidRDefault="00424449" w:rsidP="00424449">
            <w:pPr>
              <w:spacing w:before="120" w:after="120"/>
              <w:jc w:val="center"/>
              <w:rPr>
                <w:sz w:val="20"/>
              </w:rPr>
            </w:pPr>
          </w:p>
        </w:tc>
        <w:tc>
          <w:tcPr>
            <w:tcW w:w="1805" w:type="dxa"/>
            <w:vAlign w:val="center"/>
          </w:tcPr>
          <w:p w:rsidR="00424449" w:rsidRPr="00CA7FA3"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vMerge/>
            <w:shd w:val="clear" w:color="auto" w:fill="E6E6E6" w:themeFill="background1" w:themeFillShade="E6"/>
            <w:vAlign w:val="center"/>
          </w:tcPr>
          <w:p w:rsidR="00424449" w:rsidRDefault="00424449" w:rsidP="00424449">
            <w:pPr>
              <w:spacing w:before="60" w:after="60"/>
              <w:jc w:val="center"/>
              <w:rPr>
                <w:i/>
                <w:sz w:val="20"/>
              </w:rPr>
            </w:pPr>
          </w:p>
        </w:tc>
        <w:tc>
          <w:tcPr>
            <w:tcW w:w="2230" w:type="dxa"/>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Dodatkowa moc zainstalowana w kogeneracji</w:t>
            </w:r>
          </w:p>
        </w:tc>
        <w:tc>
          <w:tcPr>
            <w:tcW w:w="1588" w:type="dxa"/>
            <w:vMerge/>
            <w:vAlign w:val="center"/>
          </w:tcPr>
          <w:p w:rsidR="00424449" w:rsidRPr="00CA7FA3" w:rsidRDefault="00424449" w:rsidP="00424449">
            <w:pPr>
              <w:spacing w:before="120" w:after="120"/>
              <w:jc w:val="center"/>
              <w:rPr>
                <w:sz w:val="20"/>
              </w:rPr>
            </w:pPr>
          </w:p>
        </w:tc>
        <w:tc>
          <w:tcPr>
            <w:tcW w:w="1805" w:type="dxa"/>
            <w:vAlign w:val="center"/>
          </w:tcPr>
          <w:p w:rsidR="00424449" w:rsidRPr="00CA7FA3"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shd w:val="clear" w:color="auto" w:fill="E6E6E6" w:themeFill="background1" w:themeFillShade="E6"/>
            <w:vAlign w:val="center"/>
          </w:tcPr>
          <w:p w:rsidR="00424449" w:rsidRDefault="00424449" w:rsidP="00424449">
            <w:pPr>
              <w:spacing w:before="60" w:after="60"/>
              <w:jc w:val="center"/>
              <w:rPr>
                <w:i/>
                <w:sz w:val="20"/>
              </w:rPr>
            </w:pPr>
            <w:r>
              <w:rPr>
                <w:i/>
                <w:sz w:val="20"/>
              </w:rPr>
              <w:t>rezultat strategiczny</w:t>
            </w:r>
          </w:p>
        </w:tc>
        <w:tc>
          <w:tcPr>
            <w:tcW w:w="2230" w:type="dxa"/>
            <w:shd w:val="clear" w:color="auto" w:fill="E6E6E6" w:themeFill="background1" w:themeFillShade="E6"/>
            <w:vAlign w:val="center"/>
          </w:tcPr>
          <w:p w:rsidR="00424449" w:rsidRPr="00CA7FA3" w:rsidRDefault="00424449" w:rsidP="00424449">
            <w:pPr>
              <w:spacing w:before="60" w:after="60"/>
              <w:jc w:val="center"/>
              <w:rPr>
                <w:i/>
                <w:sz w:val="20"/>
              </w:rPr>
            </w:pPr>
            <w:r>
              <w:rPr>
                <w:i/>
                <w:sz w:val="20"/>
              </w:rPr>
              <w:t xml:space="preserve">Zapotrzebowanie na ciepło w zabudowie mieszkaniowej </w:t>
            </w:r>
          </w:p>
        </w:tc>
        <w:tc>
          <w:tcPr>
            <w:tcW w:w="1588" w:type="dxa"/>
            <w:vMerge w:val="restart"/>
            <w:vAlign w:val="center"/>
          </w:tcPr>
          <w:p w:rsidR="00424449" w:rsidRPr="00CA7FA3" w:rsidRDefault="00424449" w:rsidP="00424449">
            <w:pPr>
              <w:spacing w:before="120" w:after="120"/>
              <w:jc w:val="center"/>
              <w:rPr>
                <w:sz w:val="20"/>
              </w:rPr>
            </w:pPr>
            <w:r>
              <w:rPr>
                <w:sz w:val="20"/>
              </w:rPr>
              <w:t>4.3</w:t>
            </w:r>
          </w:p>
        </w:tc>
        <w:tc>
          <w:tcPr>
            <w:tcW w:w="1805" w:type="dxa"/>
            <w:vAlign w:val="center"/>
          </w:tcPr>
          <w:p w:rsidR="00424449" w:rsidRPr="00CA7FA3"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rezultat bezpośredni</w:t>
            </w:r>
          </w:p>
        </w:tc>
        <w:tc>
          <w:tcPr>
            <w:tcW w:w="2230" w:type="dxa"/>
            <w:shd w:val="clear" w:color="auto" w:fill="E6E6E6" w:themeFill="background1" w:themeFillShade="E6"/>
            <w:vAlign w:val="center"/>
          </w:tcPr>
          <w:p w:rsidR="00424449" w:rsidRDefault="00424449" w:rsidP="00424449">
            <w:pPr>
              <w:spacing w:before="60" w:after="60"/>
              <w:jc w:val="center"/>
              <w:rPr>
                <w:i/>
                <w:sz w:val="20"/>
              </w:rPr>
            </w:pPr>
            <w:r w:rsidRPr="00805035">
              <w:rPr>
                <w:i/>
                <w:sz w:val="20"/>
              </w:rPr>
              <w:t>Zmniejszenie zużycia energii pierwotnej w budynkach publicznych</w:t>
            </w:r>
          </w:p>
        </w:tc>
        <w:tc>
          <w:tcPr>
            <w:tcW w:w="1588" w:type="dxa"/>
            <w:vMerge/>
            <w:vAlign w:val="center"/>
          </w:tcPr>
          <w:p w:rsidR="00424449" w:rsidRPr="00CA7FA3" w:rsidRDefault="00424449" w:rsidP="00424449">
            <w:pPr>
              <w:spacing w:before="120" w:after="120"/>
              <w:jc w:val="center"/>
              <w:rPr>
                <w:sz w:val="20"/>
              </w:rPr>
            </w:pPr>
          </w:p>
        </w:tc>
        <w:tc>
          <w:tcPr>
            <w:tcW w:w="1805" w:type="dxa"/>
            <w:vAlign w:val="center"/>
          </w:tcPr>
          <w:p w:rsidR="00424449" w:rsidRPr="00223E8B"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vMerge w:val="restart"/>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rezultat strategiczny</w:t>
            </w:r>
          </w:p>
        </w:tc>
        <w:tc>
          <w:tcPr>
            <w:tcW w:w="2230" w:type="dxa"/>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Ilość zaoszczędzonej energii cieplnej w wyniku realizacji projektów</w:t>
            </w:r>
          </w:p>
        </w:tc>
        <w:tc>
          <w:tcPr>
            <w:tcW w:w="1588" w:type="dxa"/>
            <w:vMerge w:val="restart"/>
            <w:vAlign w:val="center"/>
          </w:tcPr>
          <w:p w:rsidR="00424449" w:rsidRDefault="00424449" w:rsidP="00424449">
            <w:pPr>
              <w:spacing w:before="120" w:after="120"/>
              <w:jc w:val="center"/>
              <w:rPr>
                <w:sz w:val="20"/>
              </w:rPr>
            </w:pPr>
            <w:r>
              <w:rPr>
                <w:sz w:val="20"/>
              </w:rPr>
              <w:t>4.5</w:t>
            </w:r>
          </w:p>
        </w:tc>
        <w:tc>
          <w:tcPr>
            <w:tcW w:w="1805" w:type="dxa"/>
            <w:vAlign w:val="center"/>
          </w:tcPr>
          <w:p w:rsidR="00424449" w:rsidRPr="00223E8B"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r w:rsidR="00424449" w:rsidTr="00424449">
        <w:tc>
          <w:tcPr>
            <w:tcW w:w="1299" w:type="dxa"/>
            <w:vMerge/>
            <w:shd w:val="clear" w:color="auto" w:fill="E6E6E6" w:themeFill="background1" w:themeFillShade="E6"/>
            <w:vAlign w:val="center"/>
          </w:tcPr>
          <w:p w:rsidR="00424449" w:rsidRPr="006916BB" w:rsidRDefault="00424449" w:rsidP="00424449">
            <w:pPr>
              <w:spacing w:before="60" w:after="60"/>
              <w:jc w:val="center"/>
              <w:rPr>
                <w:i/>
                <w:sz w:val="20"/>
              </w:rPr>
            </w:pPr>
          </w:p>
        </w:tc>
        <w:tc>
          <w:tcPr>
            <w:tcW w:w="2230" w:type="dxa"/>
            <w:shd w:val="clear" w:color="auto" w:fill="E6E6E6" w:themeFill="background1" w:themeFillShade="E6"/>
            <w:vAlign w:val="center"/>
          </w:tcPr>
          <w:p w:rsidR="00424449" w:rsidRPr="006916BB" w:rsidRDefault="00424449" w:rsidP="00424449">
            <w:pPr>
              <w:spacing w:before="60" w:after="60"/>
              <w:jc w:val="center"/>
              <w:rPr>
                <w:i/>
                <w:sz w:val="20"/>
              </w:rPr>
            </w:pPr>
            <w:r>
              <w:rPr>
                <w:i/>
                <w:sz w:val="20"/>
              </w:rPr>
              <w:t>Powierzchnia obiektów, w których konieczna jest wymiana lub modernizacja źródła ciepła</w:t>
            </w:r>
          </w:p>
        </w:tc>
        <w:tc>
          <w:tcPr>
            <w:tcW w:w="1588" w:type="dxa"/>
            <w:vMerge/>
            <w:vAlign w:val="center"/>
          </w:tcPr>
          <w:p w:rsidR="00424449" w:rsidRDefault="00424449" w:rsidP="00424449">
            <w:pPr>
              <w:spacing w:before="120" w:after="120"/>
              <w:jc w:val="center"/>
              <w:rPr>
                <w:sz w:val="20"/>
              </w:rPr>
            </w:pPr>
          </w:p>
        </w:tc>
        <w:tc>
          <w:tcPr>
            <w:tcW w:w="1805" w:type="dxa"/>
            <w:vAlign w:val="center"/>
          </w:tcPr>
          <w:p w:rsidR="00424449" w:rsidRPr="00223E8B" w:rsidRDefault="00424449" w:rsidP="00424449">
            <w:pPr>
              <w:spacing w:before="120" w:after="120"/>
              <w:jc w:val="center"/>
              <w:rPr>
                <w:sz w:val="20"/>
              </w:rPr>
            </w:pPr>
            <w:r>
              <w:rPr>
                <w:sz w:val="20"/>
              </w:rPr>
              <w:t>brak uwag</w:t>
            </w:r>
          </w:p>
        </w:tc>
        <w:tc>
          <w:tcPr>
            <w:tcW w:w="2368" w:type="dxa"/>
            <w:vAlign w:val="center"/>
          </w:tcPr>
          <w:p w:rsidR="00424449" w:rsidRPr="00805035" w:rsidRDefault="00424449" w:rsidP="00424449">
            <w:pPr>
              <w:jc w:val="center"/>
              <w:rPr>
                <w:sz w:val="20"/>
              </w:rPr>
            </w:pPr>
            <w:r w:rsidRPr="00805035">
              <w:rPr>
                <w:sz w:val="20"/>
              </w:rPr>
              <w:t>brak uwag</w:t>
            </w:r>
          </w:p>
        </w:tc>
      </w:tr>
    </w:tbl>
    <w:p w:rsidR="00424449" w:rsidRPr="003E2DA5" w:rsidRDefault="00424449" w:rsidP="00424449">
      <w:pPr>
        <w:ind w:left="360"/>
        <w:jc w:val="center"/>
        <w:rPr>
          <w:i/>
          <w:sz w:val="20"/>
        </w:rPr>
      </w:pPr>
      <w:r w:rsidRPr="003E2DA5">
        <w:rPr>
          <w:i/>
          <w:sz w:val="20"/>
        </w:rPr>
        <w:t>Źródło: Opracowanie własne</w:t>
      </w:r>
    </w:p>
    <w:p w:rsidR="00424449" w:rsidRDefault="00424449" w:rsidP="00424449">
      <w:pPr>
        <w:pStyle w:val="Nagwek4"/>
      </w:pPr>
      <w:r>
        <w:t>Wskaźniki typu output</w:t>
      </w:r>
    </w:p>
    <w:p w:rsidR="00424449" w:rsidRPr="006538A7" w:rsidRDefault="00424449" w:rsidP="00424449">
      <w:r>
        <w:t xml:space="preserve">Określone w programie wskaźniki typu output dobrze odpowiadają zakresowi interwencji. </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14</w:t>
      </w:r>
      <w:r w:rsidR="001B04AC">
        <w:rPr>
          <w:noProof/>
        </w:rPr>
        <w:fldChar w:fldCharType="end"/>
      </w:r>
      <w:r>
        <w:t>. Oś priorytetowa III – ocena wskaźników typu output</w:t>
      </w:r>
    </w:p>
    <w:tbl>
      <w:tblPr>
        <w:tblStyle w:val="Tabela-Siatka"/>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725"/>
        <w:gridCol w:w="3543"/>
        <w:gridCol w:w="2798"/>
        <w:gridCol w:w="2220"/>
      </w:tblGrid>
      <w:tr w:rsidR="00424449" w:rsidRPr="00BD0986" w:rsidTr="00424449">
        <w:trPr>
          <w:tblHeader/>
        </w:trPr>
        <w:tc>
          <w:tcPr>
            <w:tcW w:w="725"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p>
        </w:tc>
        <w:tc>
          <w:tcPr>
            <w:tcW w:w="3544"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r w:rsidRPr="00BD0986">
              <w:rPr>
                <w:b/>
                <w:color w:val="FFFFFF" w:themeColor="background1"/>
                <w:sz w:val="20"/>
                <w:szCs w:val="18"/>
              </w:rPr>
              <w:t xml:space="preserve">wskaźnik </w:t>
            </w:r>
          </w:p>
        </w:tc>
        <w:tc>
          <w:tcPr>
            <w:tcW w:w="2799"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r>
              <w:rPr>
                <w:b/>
                <w:color w:val="FFFFFF" w:themeColor="background1"/>
                <w:sz w:val="20"/>
              </w:rPr>
              <w:t>ocena doboru wskaźnika</w:t>
            </w:r>
          </w:p>
        </w:tc>
        <w:tc>
          <w:tcPr>
            <w:tcW w:w="2220" w:type="dxa"/>
            <w:shd w:val="clear" w:color="auto" w:fill="366092" w:themeFill="accent1"/>
          </w:tcPr>
          <w:p w:rsidR="00424449" w:rsidRDefault="00424449" w:rsidP="00424449">
            <w:pPr>
              <w:spacing w:before="60" w:after="60"/>
              <w:jc w:val="center"/>
              <w:rPr>
                <w:b/>
                <w:color w:val="FFFFFF" w:themeColor="background1"/>
                <w:sz w:val="20"/>
              </w:rPr>
            </w:pPr>
            <w:r>
              <w:rPr>
                <w:b/>
                <w:color w:val="FFFFFF" w:themeColor="background1"/>
                <w:sz w:val="20"/>
              </w:rPr>
              <w:t>ocena oszacowanie</w:t>
            </w:r>
          </w:p>
        </w:tc>
      </w:tr>
      <w:tr w:rsidR="00424449" w:rsidRPr="00BD0986" w:rsidTr="00424449">
        <w:tc>
          <w:tcPr>
            <w:tcW w:w="725" w:type="dxa"/>
            <w:vMerge w:val="restart"/>
            <w:shd w:val="clear" w:color="auto" w:fill="E6E6E6" w:themeFill="background1" w:themeFillShade="E6"/>
            <w:vAlign w:val="center"/>
          </w:tcPr>
          <w:p w:rsidR="00424449" w:rsidRPr="00BD0986" w:rsidRDefault="00424449" w:rsidP="00424449">
            <w:pPr>
              <w:spacing w:before="60" w:after="60"/>
              <w:jc w:val="center"/>
              <w:rPr>
                <w:b/>
                <w:sz w:val="20"/>
                <w:szCs w:val="18"/>
              </w:rPr>
            </w:pPr>
            <w:r w:rsidRPr="00BD0986">
              <w:rPr>
                <w:b/>
                <w:sz w:val="20"/>
                <w:szCs w:val="18"/>
              </w:rPr>
              <w:t>4.1</w:t>
            </w:r>
          </w:p>
        </w:tc>
        <w:tc>
          <w:tcPr>
            <w:tcW w:w="3544" w:type="dxa"/>
            <w:shd w:val="clear" w:color="auto" w:fill="E6E6E6" w:themeFill="background1" w:themeFillShade="E6"/>
            <w:vAlign w:val="center"/>
          </w:tcPr>
          <w:p w:rsidR="00424449" w:rsidRPr="005334DF" w:rsidRDefault="00424449" w:rsidP="00424449">
            <w:pPr>
              <w:spacing w:before="60" w:after="60"/>
              <w:jc w:val="center"/>
              <w:rPr>
                <w:i/>
                <w:color w:val="282828"/>
                <w:sz w:val="20"/>
                <w:szCs w:val="18"/>
              </w:rPr>
            </w:pPr>
            <w:r w:rsidRPr="005334DF">
              <w:rPr>
                <w:i/>
                <w:color w:val="282828"/>
                <w:sz w:val="20"/>
                <w:szCs w:val="18"/>
              </w:rPr>
              <w:t>Liczba wybudowanych jednostek wytwarzania energii elektrycznej z OZE</w:t>
            </w:r>
          </w:p>
        </w:tc>
        <w:tc>
          <w:tcPr>
            <w:tcW w:w="2799" w:type="dxa"/>
            <w:vAlign w:val="center"/>
          </w:tcPr>
          <w:p w:rsidR="00424449" w:rsidRPr="00BD0986" w:rsidRDefault="00424449" w:rsidP="00424449">
            <w:pPr>
              <w:spacing w:before="60" w:after="60"/>
              <w:jc w:val="center"/>
              <w:rPr>
                <w:sz w:val="20"/>
                <w:szCs w:val="18"/>
              </w:rPr>
            </w:pPr>
            <w:r>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vMerge/>
            <w:shd w:val="clear" w:color="auto" w:fill="E6E6E6" w:themeFill="background1" w:themeFillShade="E6"/>
            <w:vAlign w:val="center"/>
          </w:tcPr>
          <w:p w:rsidR="00424449" w:rsidRPr="00BD0986" w:rsidRDefault="00424449" w:rsidP="00424449">
            <w:pPr>
              <w:spacing w:before="60" w:after="60"/>
              <w:jc w:val="center"/>
              <w:rPr>
                <w:b/>
                <w:sz w:val="20"/>
                <w:szCs w:val="18"/>
              </w:rPr>
            </w:pPr>
          </w:p>
        </w:tc>
        <w:tc>
          <w:tcPr>
            <w:tcW w:w="3544" w:type="dxa"/>
            <w:shd w:val="clear" w:color="auto" w:fill="E6E6E6" w:themeFill="background1" w:themeFillShade="E6"/>
            <w:vAlign w:val="center"/>
          </w:tcPr>
          <w:p w:rsidR="00424449" w:rsidRPr="005334DF" w:rsidRDefault="00424449" w:rsidP="00424449">
            <w:pPr>
              <w:spacing w:before="60" w:after="60"/>
              <w:jc w:val="center"/>
              <w:rPr>
                <w:i/>
                <w:color w:val="282828"/>
                <w:sz w:val="20"/>
                <w:szCs w:val="18"/>
              </w:rPr>
            </w:pPr>
            <w:r w:rsidRPr="005334DF">
              <w:rPr>
                <w:i/>
                <w:color w:val="282828"/>
                <w:sz w:val="20"/>
                <w:szCs w:val="18"/>
              </w:rPr>
              <w:t>Liczba wybudowanych jednostek wytwarzania energii cieplnej z OZE</w:t>
            </w:r>
          </w:p>
        </w:tc>
        <w:tc>
          <w:tcPr>
            <w:tcW w:w="2799" w:type="dxa"/>
            <w:vAlign w:val="center"/>
          </w:tcPr>
          <w:p w:rsidR="00424449" w:rsidRPr="00BD0986" w:rsidRDefault="00424449" w:rsidP="00424449">
            <w:pPr>
              <w:spacing w:before="60" w:after="60"/>
              <w:jc w:val="center"/>
              <w:rPr>
                <w:sz w:val="20"/>
                <w:szCs w:val="18"/>
              </w:rPr>
            </w:pPr>
            <w:r>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vMerge/>
            <w:shd w:val="clear" w:color="auto" w:fill="E6E6E6" w:themeFill="background1" w:themeFillShade="E6"/>
            <w:vAlign w:val="center"/>
          </w:tcPr>
          <w:p w:rsidR="00424449" w:rsidRPr="00BD0986" w:rsidRDefault="00424449" w:rsidP="00424449">
            <w:pPr>
              <w:spacing w:before="60" w:after="60"/>
              <w:jc w:val="center"/>
              <w:rPr>
                <w:b/>
                <w:sz w:val="20"/>
                <w:szCs w:val="18"/>
              </w:rPr>
            </w:pPr>
          </w:p>
        </w:tc>
        <w:tc>
          <w:tcPr>
            <w:tcW w:w="3544" w:type="dxa"/>
            <w:shd w:val="clear" w:color="auto" w:fill="E6E6E6" w:themeFill="background1" w:themeFillShade="E6"/>
            <w:vAlign w:val="center"/>
          </w:tcPr>
          <w:p w:rsidR="00424449" w:rsidRPr="002938CF" w:rsidRDefault="00424449" w:rsidP="00424449">
            <w:pPr>
              <w:spacing w:before="60" w:after="60"/>
              <w:jc w:val="center"/>
              <w:rPr>
                <w:i/>
                <w:color w:val="282828"/>
                <w:sz w:val="20"/>
                <w:szCs w:val="18"/>
              </w:rPr>
            </w:pPr>
            <w:r w:rsidRPr="002938CF">
              <w:rPr>
                <w:i/>
                <w:color w:val="282828"/>
                <w:sz w:val="20"/>
                <w:szCs w:val="18"/>
              </w:rPr>
              <w:t>Liczba wybudowanych i zmodernizowanych jednostek wytwarzania energii cieplnej i elektrycznej z OZE w ramach kogeneracji</w:t>
            </w:r>
          </w:p>
        </w:tc>
        <w:tc>
          <w:tcPr>
            <w:tcW w:w="2799" w:type="dxa"/>
            <w:vAlign w:val="center"/>
          </w:tcPr>
          <w:p w:rsidR="00424449" w:rsidRDefault="00424449" w:rsidP="00424449">
            <w:pPr>
              <w:spacing w:before="60" w:after="60"/>
              <w:jc w:val="center"/>
              <w:rPr>
                <w:sz w:val="20"/>
                <w:szCs w:val="18"/>
              </w:rPr>
            </w:pPr>
            <w:r>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vMerge/>
            <w:shd w:val="clear" w:color="auto" w:fill="E6E6E6" w:themeFill="background1" w:themeFillShade="E6"/>
            <w:vAlign w:val="center"/>
          </w:tcPr>
          <w:p w:rsidR="00424449" w:rsidRPr="00BD0986" w:rsidRDefault="00424449" w:rsidP="00424449">
            <w:pPr>
              <w:spacing w:before="60" w:after="60"/>
              <w:jc w:val="center"/>
              <w:rPr>
                <w:b/>
                <w:sz w:val="20"/>
                <w:szCs w:val="18"/>
              </w:rPr>
            </w:pPr>
          </w:p>
        </w:tc>
        <w:tc>
          <w:tcPr>
            <w:tcW w:w="3544" w:type="dxa"/>
            <w:shd w:val="clear" w:color="auto" w:fill="E6E6E6" w:themeFill="background1" w:themeFillShade="E6"/>
            <w:vAlign w:val="center"/>
          </w:tcPr>
          <w:p w:rsidR="00424449" w:rsidRPr="002938CF" w:rsidRDefault="00424449" w:rsidP="00424449">
            <w:pPr>
              <w:spacing w:before="60" w:after="60"/>
              <w:jc w:val="center"/>
              <w:rPr>
                <w:i/>
                <w:color w:val="282828"/>
                <w:sz w:val="20"/>
                <w:szCs w:val="18"/>
              </w:rPr>
            </w:pPr>
            <w:r w:rsidRPr="002938CF">
              <w:rPr>
                <w:i/>
                <w:color w:val="282828"/>
                <w:sz w:val="20"/>
                <w:szCs w:val="18"/>
              </w:rPr>
              <w:t>Liczba wybudowanych i zmodernizowanych jednostek wytwarzania energii cieplnej i elektrycznej w ramach kogeneracji</w:t>
            </w:r>
          </w:p>
        </w:tc>
        <w:tc>
          <w:tcPr>
            <w:tcW w:w="2799" w:type="dxa"/>
            <w:vAlign w:val="center"/>
          </w:tcPr>
          <w:p w:rsidR="00424449" w:rsidRDefault="00424449" w:rsidP="00424449">
            <w:pPr>
              <w:spacing w:before="60" w:after="60"/>
              <w:jc w:val="center"/>
              <w:rPr>
                <w:sz w:val="20"/>
                <w:szCs w:val="18"/>
              </w:rPr>
            </w:pPr>
            <w:r>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shd w:val="clear" w:color="auto" w:fill="E6E6E6" w:themeFill="background1" w:themeFillShade="E6"/>
            <w:vAlign w:val="center"/>
          </w:tcPr>
          <w:p w:rsidR="00424449" w:rsidRPr="00BD0986" w:rsidRDefault="00424449" w:rsidP="00424449">
            <w:pPr>
              <w:spacing w:before="60" w:after="60"/>
              <w:jc w:val="center"/>
              <w:rPr>
                <w:b/>
                <w:sz w:val="20"/>
                <w:szCs w:val="18"/>
              </w:rPr>
            </w:pPr>
            <w:r w:rsidRPr="00BD0986">
              <w:rPr>
                <w:b/>
                <w:sz w:val="20"/>
                <w:szCs w:val="18"/>
              </w:rPr>
              <w:lastRenderedPageBreak/>
              <w:t>4.3</w:t>
            </w:r>
          </w:p>
        </w:tc>
        <w:tc>
          <w:tcPr>
            <w:tcW w:w="3544" w:type="dxa"/>
            <w:shd w:val="clear" w:color="auto" w:fill="E6E6E6" w:themeFill="background1" w:themeFillShade="E6"/>
            <w:vAlign w:val="center"/>
          </w:tcPr>
          <w:p w:rsidR="00424449" w:rsidRPr="00B644D4" w:rsidRDefault="00424449" w:rsidP="00424449">
            <w:pPr>
              <w:spacing w:before="60" w:after="60"/>
              <w:jc w:val="center"/>
              <w:rPr>
                <w:i/>
                <w:color w:val="282828"/>
                <w:sz w:val="20"/>
                <w:szCs w:val="18"/>
              </w:rPr>
            </w:pPr>
            <w:r w:rsidRPr="00B644D4">
              <w:rPr>
                <w:i/>
                <w:color w:val="282828"/>
                <w:sz w:val="20"/>
                <w:szCs w:val="18"/>
              </w:rPr>
              <w:t>Liczba zmodernizowanych energetycznie budynków</w:t>
            </w:r>
          </w:p>
        </w:tc>
        <w:tc>
          <w:tcPr>
            <w:tcW w:w="2799" w:type="dxa"/>
            <w:vAlign w:val="center"/>
          </w:tcPr>
          <w:p w:rsidR="00424449" w:rsidRPr="00BD0986" w:rsidRDefault="00424449" w:rsidP="00424449">
            <w:pPr>
              <w:jc w:val="center"/>
              <w:rPr>
                <w:sz w:val="20"/>
                <w:szCs w:val="18"/>
              </w:rPr>
            </w:pPr>
            <w:r w:rsidRPr="00BD0986">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vMerge w:val="restart"/>
            <w:shd w:val="clear" w:color="auto" w:fill="E6E6E6" w:themeFill="background1" w:themeFillShade="E6"/>
            <w:vAlign w:val="center"/>
          </w:tcPr>
          <w:p w:rsidR="00424449" w:rsidRPr="00BD0986" w:rsidRDefault="00424449" w:rsidP="00424449">
            <w:pPr>
              <w:spacing w:before="60" w:after="60"/>
              <w:jc w:val="center"/>
              <w:rPr>
                <w:b/>
                <w:sz w:val="20"/>
                <w:szCs w:val="18"/>
              </w:rPr>
            </w:pPr>
            <w:r w:rsidRPr="00BD0986">
              <w:rPr>
                <w:b/>
                <w:sz w:val="20"/>
                <w:szCs w:val="18"/>
              </w:rPr>
              <w:t>4.5</w:t>
            </w:r>
          </w:p>
        </w:tc>
        <w:tc>
          <w:tcPr>
            <w:tcW w:w="3544" w:type="dxa"/>
            <w:shd w:val="clear" w:color="auto" w:fill="E6E6E6" w:themeFill="background1" w:themeFillShade="E6"/>
            <w:vAlign w:val="center"/>
          </w:tcPr>
          <w:p w:rsidR="00424449" w:rsidRPr="00BD0986" w:rsidRDefault="00424449" w:rsidP="00424449">
            <w:pPr>
              <w:spacing w:before="60" w:after="60"/>
              <w:jc w:val="center"/>
              <w:rPr>
                <w:i/>
                <w:color w:val="282828"/>
                <w:sz w:val="20"/>
                <w:szCs w:val="18"/>
              </w:rPr>
            </w:pPr>
            <w:r w:rsidRPr="00BD0986">
              <w:rPr>
                <w:i/>
                <w:color w:val="282828"/>
                <w:sz w:val="20"/>
                <w:szCs w:val="18"/>
              </w:rPr>
              <w:t>Długość wybudowanej lub zmodernizowanej sieci ciepłowniczej</w:t>
            </w:r>
          </w:p>
        </w:tc>
        <w:tc>
          <w:tcPr>
            <w:tcW w:w="2799" w:type="dxa"/>
            <w:vAlign w:val="center"/>
          </w:tcPr>
          <w:p w:rsidR="00424449" w:rsidRPr="00BD0986" w:rsidRDefault="00424449" w:rsidP="00424449">
            <w:pPr>
              <w:jc w:val="center"/>
              <w:rPr>
                <w:sz w:val="20"/>
                <w:szCs w:val="18"/>
              </w:rPr>
            </w:pPr>
            <w:r w:rsidRPr="00BD0986">
              <w:rPr>
                <w:sz w:val="20"/>
                <w:szCs w:val="18"/>
              </w:rPr>
              <w:t>brak uwag</w:t>
            </w:r>
          </w:p>
        </w:tc>
        <w:tc>
          <w:tcPr>
            <w:tcW w:w="2220" w:type="dxa"/>
            <w:vAlign w:val="center"/>
          </w:tcPr>
          <w:p w:rsidR="00424449" w:rsidRDefault="00424449" w:rsidP="00424449">
            <w:pPr>
              <w:jc w:val="center"/>
            </w:pPr>
            <w:r w:rsidRPr="002A7D3B">
              <w:rPr>
                <w:sz w:val="20"/>
                <w:szCs w:val="18"/>
              </w:rPr>
              <w:t>brak uwag</w:t>
            </w:r>
          </w:p>
        </w:tc>
      </w:tr>
      <w:tr w:rsidR="00424449" w:rsidRPr="00BD0986" w:rsidTr="00424449">
        <w:tc>
          <w:tcPr>
            <w:tcW w:w="725" w:type="dxa"/>
            <w:vMerge/>
            <w:shd w:val="clear" w:color="auto" w:fill="E6E6E6" w:themeFill="background1" w:themeFillShade="E6"/>
            <w:vAlign w:val="center"/>
          </w:tcPr>
          <w:p w:rsidR="00424449" w:rsidRPr="00BD0986" w:rsidRDefault="00424449" w:rsidP="00424449">
            <w:pPr>
              <w:spacing w:before="60" w:after="60"/>
              <w:jc w:val="center"/>
              <w:rPr>
                <w:b/>
                <w:sz w:val="20"/>
                <w:szCs w:val="18"/>
              </w:rPr>
            </w:pPr>
          </w:p>
        </w:tc>
        <w:tc>
          <w:tcPr>
            <w:tcW w:w="3544" w:type="dxa"/>
            <w:shd w:val="clear" w:color="auto" w:fill="E6E6E6" w:themeFill="background1" w:themeFillShade="E6"/>
            <w:vAlign w:val="center"/>
          </w:tcPr>
          <w:p w:rsidR="00424449" w:rsidRPr="00BD0986" w:rsidRDefault="00424449" w:rsidP="00424449">
            <w:pPr>
              <w:spacing w:before="60" w:after="60"/>
              <w:jc w:val="center"/>
              <w:rPr>
                <w:i/>
                <w:color w:val="282828"/>
                <w:sz w:val="20"/>
                <w:szCs w:val="18"/>
              </w:rPr>
            </w:pPr>
            <w:r w:rsidRPr="00C27183">
              <w:rPr>
                <w:i/>
                <w:color w:val="282828"/>
                <w:sz w:val="20"/>
                <w:szCs w:val="18"/>
              </w:rPr>
              <w:t>Liczba wybudowanych lub zmodernizowanych źródeł ciepła</w:t>
            </w:r>
          </w:p>
        </w:tc>
        <w:tc>
          <w:tcPr>
            <w:tcW w:w="2799" w:type="dxa"/>
            <w:vAlign w:val="center"/>
          </w:tcPr>
          <w:p w:rsidR="00424449" w:rsidRPr="00BD0986" w:rsidRDefault="00424449" w:rsidP="00424449">
            <w:pPr>
              <w:jc w:val="center"/>
              <w:rPr>
                <w:sz w:val="20"/>
                <w:szCs w:val="18"/>
              </w:rPr>
            </w:pPr>
            <w:r w:rsidRPr="00BD0986">
              <w:rPr>
                <w:sz w:val="20"/>
                <w:szCs w:val="18"/>
              </w:rPr>
              <w:t>brak uwag</w:t>
            </w:r>
          </w:p>
        </w:tc>
        <w:tc>
          <w:tcPr>
            <w:tcW w:w="2220" w:type="dxa"/>
            <w:vAlign w:val="center"/>
          </w:tcPr>
          <w:p w:rsidR="00424449" w:rsidRDefault="00424449" w:rsidP="00424449">
            <w:pPr>
              <w:jc w:val="center"/>
            </w:pPr>
            <w:r w:rsidRPr="002A7D3B">
              <w:rPr>
                <w:sz w:val="20"/>
                <w:szCs w:val="18"/>
              </w:rPr>
              <w:t>brak uwag</w:t>
            </w:r>
          </w:p>
        </w:tc>
      </w:tr>
    </w:tbl>
    <w:p w:rsidR="00424449" w:rsidRPr="00DB21F4" w:rsidRDefault="00424449" w:rsidP="00424449">
      <w:pPr>
        <w:ind w:left="360"/>
        <w:jc w:val="center"/>
        <w:rPr>
          <w:i/>
          <w:sz w:val="20"/>
        </w:rPr>
      </w:pPr>
      <w:r w:rsidRPr="003E2DA5">
        <w:rPr>
          <w:i/>
          <w:sz w:val="20"/>
        </w:rPr>
        <w:t>Źródło: Opracowanie własne</w:t>
      </w:r>
    </w:p>
    <w:p w:rsidR="00424449" w:rsidRDefault="00424449" w:rsidP="00424449">
      <w:pPr>
        <w:pStyle w:val="Nagwek4"/>
      </w:pPr>
      <w:r>
        <w:t>Wskaźniki wybrane do ram wykonania</w:t>
      </w:r>
    </w:p>
    <w:p w:rsidR="00424449" w:rsidRPr="00815F14" w:rsidRDefault="00424449" w:rsidP="00424449"/>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15</w:t>
      </w:r>
      <w:r w:rsidR="001B04AC">
        <w:rPr>
          <w:noProof/>
        </w:rPr>
        <w:fldChar w:fldCharType="end"/>
      </w:r>
      <w:r>
        <w:t>. Oś priorytetowa III – ocena wskaźników wybranych do ram wykonania</w:t>
      </w:r>
    </w:p>
    <w:tbl>
      <w:tblPr>
        <w:tblStyle w:val="Tabela-Siatka"/>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5516"/>
        <w:gridCol w:w="3770"/>
      </w:tblGrid>
      <w:tr w:rsidR="00424449" w:rsidRPr="00CA7FA3" w:rsidTr="00424449">
        <w:trPr>
          <w:tblHeader/>
        </w:trPr>
        <w:tc>
          <w:tcPr>
            <w:tcW w:w="5517"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wskaźnik rezultatu</w:t>
            </w:r>
          </w:p>
        </w:tc>
        <w:tc>
          <w:tcPr>
            <w:tcW w:w="3771"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Pr>
                <w:b/>
                <w:color w:val="FFFFFF" w:themeColor="background1"/>
                <w:sz w:val="20"/>
              </w:rPr>
              <w:t>ocena doboru wskaźnika</w:t>
            </w:r>
          </w:p>
        </w:tc>
      </w:tr>
      <w:tr w:rsidR="00424449" w:rsidTr="00424449">
        <w:tc>
          <w:tcPr>
            <w:tcW w:w="5517" w:type="dxa"/>
            <w:shd w:val="clear" w:color="auto" w:fill="E6E6E6" w:themeFill="background1" w:themeFillShade="E6"/>
            <w:vAlign w:val="center"/>
          </w:tcPr>
          <w:p w:rsidR="00424449" w:rsidRPr="00B644D4" w:rsidRDefault="00424449" w:rsidP="00424449">
            <w:pPr>
              <w:spacing w:before="60" w:after="60"/>
              <w:jc w:val="left"/>
              <w:rPr>
                <w:i/>
                <w:color w:val="282828"/>
                <w:sz w:val="20"/>
                <w:szCs w:val="18"/>
              </w:rPr>
            </w:pPr>
            <w:r w:rsidRPr="002938CF">
              <w:rPr>
                <w:i/>
                <w:color w:val="282828"/>
                <w:sz w:val="20"/>
                <w:szCs w:val="18"/>
              </w:rPr>
              <w:t>Liczba wybudowanych jednostek wytwarzania energii elektrycznej z OZE</w:t>
            </w:r>
          </w:p>
        </w:tc>
        <w:tc>
          <w:tcPr>
            <w:tcW w:w="3771" w:type="dxa"/>
            <w:vAlign w:val="center"/>
          </w:tcPr>
          <w:p w:rsidR="00424449" w:rsidRDefault="00424449" w:rsidP="00424449">
            <w:pPr>
              <w:spacing w:before="120" w:after="120"/>
              <w:jc w:val="center"/>
              <w:rPr>
                <w:sz w:val="20"/>
              </w:rPr>
            </w:pPr>
            <w:r>
              <w:rPr>
                <w:sz w:val="20"/>
              </w:rPr>
              <w:t>brak uwag</w:t>
            </w:r>
          </w:p>
        </w:tc>
      </w:tr>
      <w:tr w:rsidR="00424449" w:rsidTr="00424449">
        <w:tc>
          <w:tcPr>
            <w:tcW w:w="5517" w:type="dxa"/>
            <w:shd w:val="clear" w:color="auto" w:fill="E6E6E6" w:themeFill="background1" w:themeFillShade="E6"/>
            <w:vAlign w:val="center"/>
          </w:tcPr>
          <w:p w:rsidR="00424449" w:rsidRPr="00D01DB3" w:rsidRDefault="00424449" w:rsidP="00424449">
            <w:pPr>
              <w:spacing w:before="60" w:after="60"/>
              <w:jc w:val="left"/>
              <w:rPr>
                <w:i/>
                <w:color w:val="282828"/>
                <w:sz w:val="20"/>
              </w:rPr>
            </w:pPr>
            <w:r w:rsidRPr="00B644D4">
              <w:rPr>
                <w:i/>
                <w:color w:val="282828"/>
                <w:sz w:val="20"/>
                <w:szCs w:val="18"/>
              </w:rPr>
              <w:t>Liczba zmodernizowanych energetycznie budynków</w:t>
            </w:r>
          </w:p>
        </w:tc>
        <w:tc>
          <w:tcPr>
            <w:tcW w:w="3771" w:type="dxa"/>
            <w:vAlign w:val="center"/>
          </w:tcPr>
          <w:p w:rsidR="00424449" w:rsidRDefault="00424449" w:rsidP="00424449">
            <w:pPr>
              <w:spacing w:before="120" w:after="120"/>
              <w:jc w:val="center"/>
              <w:rPr>
                <w:sz w:val="20"/>
              </w:rPr>
            </w:pPr>
            <w:r>
              <w:rPr>
                <w:sz w:val="20"/>
              </w:rPr>
              <w:t>brak uwag</w:t>
            </w:r>
          </w:p>
        </w:tc>
      </w:tr>
      <w:tr w:rsidR="00424449" w:rsidTr="00424449">
        <w:tc>
          <w:tcPr>
            <w:tcW w:w="5517" w:type="dxa"/>
            <w:shd w:val="clear" w:color="auto" w:fill="E6E6E6" w:themeFill="background1" w:themeFillShade="E6"/>
            <w:vAlign w:val="center"/>
          </w:tcPr>
          <w:p w:rsidR="00424449" w:rsidRPr="00D01DB3" w:rsidRDefault="00424449" w:rsidP="00424449">
            <w:pPr>
              <w:spacing w:before="60" w:after="60"/>
              <w:jc w:val="left"/>
              <w:rPr>
                <w:i/>
                <w:color w:val="282828"/>
                <w:sz w:val="20"/>
              </w:rPr>
            </w:pPr>
            <w:r>
              <w:rPr>
                <w:i/>
                <w:color w:val="282828"/>
                <w:sz w:val="20"/>
              </w:rPr>
              <w:t xml:space="preserve">Całkowita kwota wydatków kwalifikowalnych </w:t>
            </w:r>
          </w:p>
        </w:tc>
        <w:tc>
          <w:tcPr>
            <w:tcW w:w="3771" w:type="dxa"/>
            <w:vAlign w:val="center"/>
          </w:tcPr>
          <w:p w:rsidR="00424449" w:rsidRDefault="00424449" w:rsidP="00424449">
            <w:pPr>
              <w:spacing w:before="120" w:after="120"/>
              <w:jc w:val="center"/>
              <w:rPr>
                <w:sz w:val="20"/>
              </w:rPr>
            </w:pPr>
            <w:r>
              <w:rPr>
                <w:sz w:val="20"/>
              </w:rPr>
              <w:t>brak uwag</w:t>
            </w:r>
          </w:p>
        </w:tc>
      </w:tr>
    </w:tbl>
    <w:p w:rsidR="00424449" w:rsidRPr="003E2DA5" w:rsidRDefault="00424449" w:rsidP="00424449">
      <w:pPr>
        <w:ind w:left="360"/>
        <w:jc w:val="center"/>
        <w:rPr>
          <w:i/>
          <w:sz w:val="20"/>
        </w:rPr>
      </w:pPr>
      <w:r w:rsidRPr="003E2DA5">
        <w:rPr>
          <w:i/>
          <w:sz w:val="20"/>
        </w:rPr>
        <w:t>Źródło: Opracowanie własne</w:t>
      </w:r>
    </w:p>
    <w:p w:rsidR="00FD5DD2" w:rsidRDefault="00FD5DD2" w:rsidP="00FD5DD2">
      <w:pPr>
        <w:pStyle w:val="Nagwek3"/>
      </w:pPr>
      <w:r>
        <w:t>Wkład w realizację celów dokumentów strategicznych i celów polityk horyzontalnych</w:t>
      </w:r>
    </w:p>
    <w:p w:rsidR="00FD5DD2" w:rsidRDefault="00FD5DD2" w:rsidP="00FD5DD2">
      <w:pPr>
        <w:pStyle w:val="Nagwek4"/>
      </w:pPr>
      <w:r>
        <w:t>Cele strategiczne na poziomie europejskim i polityki horyzontalne</w:t>
      </w:r>
    </w:p>
    <w:p w:rsidR="00FD5DD2" w:rsidRPr="00DD05C0" w:rsidRDefault="00FD5DD2" w:rsidP="00FD5DD2">
      <w:r>
        <w:t xml:space="preserve">Wszystkie działania zaplanowane w osi priorytetowej III RPO WP 2014-2020 będą miały pozytywne przełożenia na realizacje celów wynikających ze strategii </w:t>
      </w:r>
      <w:r w:rsidRPr="00E30F9C">
        <w:rPr>
          <w:i/>
        </w:rPr>
        <w:t>Europa 202</w:t>
      </w:r>
      <w:r>
        <w:t xml:space="preserve">0, przede wszystkim w zakresie inicjatywny przewodniej </w:t>
      </w:r>
      <w:r>
        <w:rPr>
          <w:i/>
        </w:rPr>
        <w:t xml:space="preserve">Europa efektywnie korzystająca z zasobów </w:t>
      </w:r>
      <w:r>
        <w:t xml:space="preserve">oraz oczekiwanych rezultatów określonych w tzw. pakiecie energetyczno-klimatycznym. Projekty wsparte ze środków programu przyczynią się do wynikających z tego pakietu zmian w bilansie energetycznym Polski i województwa podkarpackiego (zwiększenie udziału źródeł odnawialnym w końcowym zużyciu energii brutto – PI 4.1), a także pozwolą na bardziej racjonalne wykorzystanie surowców energetycznych (zmniejszenie zapotrzebowania na energię pierwotną – PI 4.3 i 4.5). Dzięki obydwu wymienionym kanałom oddziaływania, należy również oczekiwać zmniejszenia poziomu emisji gazów cieplarnianych (zastąpienie jednostek wytwarzających energię ze źródeł konwencjonalnych, szeroko zakrojone działania związane z modernizacją energetyczną). Pozytywne oddziaływanie na środowisko, wpisujące się w politykę horyzontalną zrównoważonego rozwoju, polegać będzie także na poprawie jakości powietrza. </w:t>
      </w:r>
    </w:p>
    <w:p w:rsidR="00FD5DD2" w:rsidRDefault="00FD5DD2" w:rsidP="00FD5DD2">
      <w:pPr>
        <w:pStyle w:val="Nagwek4"/>
      </w:pPr>
      <w:r>
        <w:t>Cele strategiczne na poziomie krajowym</w:t>
      </w:r>
    </w:p>
    <w:p w:rsidR="00FD5DD2" w:rsidRPr="00DD05C0" w:rsidRDefault="00FD5DD2" w:rsidP="00FD5DD2">
      <w:r>
        <w:t xml:space="preserve">Z uwagi na duża zbieżność celów strategicznych na poziomie europejskim i na poziomie krajowym związanych z zagadnieniami energetyczno-klimatycznymi, oczekiwany wkład osi priorytetowej III RPO WP 2014-2020 w rezultaty dokumentów krajowym będzie podobny jako opisany w powyższej sekcji. Po pierwsze, interwencja przewidziana w priorytetach inwestycyjnych 4.3 i 4.5 pozwoli na przybliżenie celów związanych z poprawą efektywności energetycznej (SRK – kierunek II.6.2, KSRR – </w:t>
      </w:r>
      <w:r>
        <w:lastRenderedPageBreak/>
        <w:t xml:space="preserve">kierunek 1.3.5, BEiŚ – 2.2). Po drugie, dzięki projektom sfinansowanym w priorytecie inwestycyjnym 4.1 podniesie się bezpieczeństwo energetyczne kraju i regionu, co będzie możliwe dzięki większej dywersyfikacji źródeł (SRK – kierunek II.6.3, KSRR – kierunek 1.3.5, BEiŚ – kierunek 2.1). </w:t>
      </w:r>
    </w:p>
    <w:p w:rsidR="00FD5DD2" w:rsidRDefault="00FD5DD2" w:rsidP="00FD5DD2">
      <w:pPr>
        <w:pStyle w:val="Nagwek4"/>
      </w:pPr>
      <w:r>
        <w:t>Cele strategiczne województwa podkarpackiego</w:t>
      </w:r>
    </w:p>
    <w:p w:rsidR="00FD5DD2" w:rsidRPr="005229BA" w:rsidRDefault="00FD5DD2" w:rsidP="00FD5DD2">
      <w:r>
        <w:t xml:space="preserve">Struktura interwencji RPO WP 2014-2020 w obszarze energetyki odpowiada również oczekiwaniom sformułowanym w </w:t>
      </w:r>
      <w:r w:rsidRPr="005229BA">
        <w:rPr>
          <w:i/>
        </w:rPr>
        <w:t>Strategii Rozwoju Województwa – Podkarpackie 2020</w:t>
      </w:r>
      <w:r>
        <w:t xml:space="preserve">, której jednym z celów operacyjnych jest </w:t>
      </w:r>
      <w:r>
        <w:rPr>
          <w:i/>
        </w:rPr>
        <w:t xml:space="preserve">zwiększenie bezpieczeństwa energetycznego i efektywności energetycznej (…) poprzez racjonalne wykorzystanie paliw i energii z uwzględnieniem lokalnych zasobów, w tym odnawialnych źródeł energii. </w:t>
      </w:r>
    </w:p>
    <w:p w:rsidR="00424449" w:rsidRDefault="00424449">
      <w:pPr>
        <w:jc w:val="left"/>
      </w:pPr>
      <w:r>
        <w:br w:type="page"/>
      </w:r>
    </w:p>
    <w:p w:rsidR="00424449" w:rsidRDefault="00424449" w:rsidP="00424449">
      <w:pPr>
        <w:pStyle w:val="Nagwek2"/>
      </w:pPr>
      <w:bookmarkStart w:id="16" w:name="_Toc375208053"/>
      <w:bookmarkStart w:id="17" w:name="_Toc384914405"/>
      <w:r>
        <w:lastRenderedPageBreak/>
        <w:t>Oś priorytetowa IV. Ochrona środowiska naturalnego i dziedzictwa kulturowego</w:t>
      </w:r>
      <w:bookmarkEnd w:id="16"/>
      <w:bookmarkEnd w:id="17"/>
    </w:p>
    <w:p w:rsidR="00424449" w:rsidRDefault="00424449" w:rsidP="00424449">
      <w:pPr>
        <w:pStyle w:val="Nagwek3"/>
      </w:pPr>
      <w:r>
        <w:t>Ocena przesłanek interwencji</w:t>
      </w:r>
    </w:p>
    <w:p w:rsidR="00424449" w:rsidRDefault="00424449" w:rsidP="00424449">
      <w:r>
        <w:t>W diagnozie RPO WP odniesiono się do wszystkich najważniejszych zagadnień w obszarze adaptacji do zmian klimatu, ochrony środowiska oraz dziedzictwa kulturowego, dając tym samym podstawy do interwencji zaplanowanej w ramach osi IV.</w:t>
      </w:r>
    </w:p>
    <w:p w:rsidR="00424449" w:rsidRDefault="00424449" w:rsidP="00424449">
      <w:r>
        <w:t xml:space="preserve">W obszarze związanym z adaptacją do zmian klimatu słusznie uwzględniono zarówno kwestie zasobów wodnych województwa, ich nierównomiernego rozmieszenia oraz zmienną wielkość (skutkujące okresowymi niedoborami w zaopatrzeniu w wodę), jak również niewystarczającą retencję i stan techniczny urządzeń wodnych oraz zagrożenie powodziowe. W kontekście tych problemów dużego znaczenia nabiera sprawność służb ratunkowych, poczynając od systemów ostrzegania, którego obecnie brak, po wyposażenie jednostek (OSP), oceniane, jako niedostateczne. Sytuacja taka uzasadnia potrzebę podjęcia działań zwiększających odporność na negatywne skutki zmian klimatu, w szczególności powodzi, poprzez m.in. stworzenie systemu monitoringu zagrożeń i zarządzania nimi, poprawę zdolności retencyjnych oraz poprawę koordynacji akcji ratunkowych. Przedstawiona diagnoza sytuacji wyjściowej oraz uzasadnienie dla interwencji znajdują swoje odzwierciedlenie zarówno we wnioskach z </w:t>
      </w:r>
      <w:r>
        <w:rPr>
          <w:i/>
        </w:rPr>
        <w:t>Diagnozy sytuacji społeczno-gospodarczej województwa podkarpackiego</w:t>
      </w:r>
      <w:r>
        <w:rPr>
          <w:rStyle w:val="Odwoanieprzypisudolnego"/>
        </w:rPr>
        <w:footnoteReference w:id="26"/>
      </w:r>
      <w:r>
        <w:t xml:space="preserve"> jak i wytycznych w kluczowych dokumentach na poziomie krajowym, w szczególności </w:t>
      </w:r>
      <w:r>
        <w:rPr>
          <w:i/>
        </w:rPr>
        <w:t xml:space="preserve">Strategicznym planie adaptacji dla sektorów i obszarów wrażliwych na zmiany klimatu do roku 2020, z perspektywą do roku 2030, </w:t>
      </w:r>
      <w:r>
        <w:t>w którym wśród celów i kierunków interwencji wskazano m.in. na potrzebę stworzenia lokalnych systemów monitorowania i ostrzegania przed zagrożeniami.</w:t>
      </w:r>
    </w:p>
    <w:p w:rsidR="00424449" w:rsidRDefault="00424449" w:rsidP="00424449">
      <w:r>
        <w:t>W części diagnostycznej dokumentu podkreślono, że gospodarka odpadami w województwie podkarpackim, analogicznie jak w pozostałych regionach kraju, nie spełnia standardów określonych w</w:t>
      </w:r>
      <w:r w:rsidR="002F7C58">
        <w:t> </w:t>
      </w:r>
      <w:r>
        <w:t xml:space="preserve"> dokumentach unijnych</w:t>
      </w:r>
      <w:r>
        <w:rPr>
          <w:rStyle w:val="Odwoanieprzypisudolnego"/>
        </w:rPr>
        <w:footnoteReference w:id="27"/>
      </w:r>
      <w:r>
        <w:t xml:space="preserve"> i krajowych. Jedynie niewielki odsetek (12,1 % w 2012 r.)</w:t>
      </w:r>
      <w:r>
        <w:rPr>
          <w:rStyle w:val="Odwoanieprzypisudolnego"/>
        </w:rPr>
        <w:footnoteReference w:id="28"/>
      </w:r>
      <w:r>
        <w:t xml:space="preserve"> odpadów zbierany jest w sposób selektywny, zdecydowana większość odpadów zmieszanych zagospodarowana jest przez składowanie. W województwie podkarpackim takie podejście dotyczy 95% odpadów, przy średniej krajowej 83%, wynik ten plasuje region na ostatnim miejscu w Polsce.</w:t>
      </w:r>
      <w:r>
        <w:rPr>
          <w:rStyle w:val="Odwoanieprzypisudolnego"/>
        </w:rPr>
        <w:footnoteReference w:id="29"/>
      </w:r>
      <w:r>
        <w:t xml:space="preserve">  Dodatkowo, istniejące instalacje do przetwarzania odpadów komunalnych w regionach gospodarki odpadami nie mają wystarczających mocy przerobowych do zaspokojenia bieżących potrzeb, w</w:t>
      </w:r>
      <w:r w:rsidR="002F7C58">
        <w:t> </w:t>
      </w:r>
      <w:r>
        <w:t xml:space="preserve"> województwie występuje również problem spalania odpadów w gospodarstwach domowych. Identyfikacja w/w problemów wskazuje na wyzwania związane z koniecznością poprawy gospodarki odpadami komunalnymi oraz niebezpiecznymi, jak również zwiększenie poziomu odzysku surowców wtórnych.</w:t>
      </w:r>
    </w:p>
    <w:p w:rsidR="00424449" w:rsidRDefault="00424449" w:rsidP="00424449">
      <w:r>
        <w:lastRenderedPageBreak/>
        <w:t>Pomimo nakładów w obszarze gospodarki wodno-ściekowej poczynionych w obecnej perspektywie finansowej, nadal widoczne są duże dysproporcje między obszarami miejskim i wiejskimi w zakresie dostępu do oczyszczalni ścieków oraz długości sieci wodociągowej i kanalizacyjnej.</w:t>
      </w:r>
      <w:r>
        <w:rPr>
          <w:rStyle w:val="Odwoanieprzypisudolnego"/>
        </w:rPr>
        <w:footnoteReference w:id="30"/>
      </w:r>
      <w:r>
        <w:t xml:space="preserve"> Dodatkowo, pomimo wielu inwestycji, jedynie niewielka część systemów kanalizacyjnych cechuje się kompleksowością umożliwiającą wywiązanie się z wymogów określonych w Krajowym Programie Oczyszczania Ścieków Komunalnych. Ze względu na ukształtowanie geograficzne i rozproszenie sieci osadniczej problemem wymagającym rozwiązania jest również kwestia indywidulanych systemów oczyszczania ścieków na terenach o zabudowie rozproszonej, będących często obszarami źródliskowymi, cennymi przyrodniczo i atrakcyjnymi turystycznie. Jako kluczowe wyzwanie w</w:t>
      </w:r>
      <w:r w:rsidR="002F7C58">
        <w:t> </w:t>
      </w:r>
      <w:r>
        <w:t xml:space="preserve"> obszarze gospodarki wodno-ściekowej w województwie wskazano – obok poprawy ogólnego stanu tej gospodarki, dla wypełnienia zobowiązań akcesyjnych – rozwój indywidualnych systemów oczyszczania ścieków na terenach o rozproszonej zabudowie. </w:t>
      </w:r>
    </w:p>
    <w:p w:rsidR="00424449" w:rsidRDefault="00424449" w:rsidP="00424449">
      <w:r>
        <w:t>Województwo podkarpackie charakteryzuje się wielokulturowym dziedzictwem objawiającym się m.in. w architekturze, zbiorach muzealnych, folklorze oraz imprezach kulturalnych, wielości zabytków ruchomych i nieruchomych, w tym znajdujących się na Liście Światowego Dziedzictwa UNESCO. Jednocześnie pomimo stosunkowo bogatych zasobów oraz relatywnie dużej liczbie instytucji kultury widoczna jest, podobnie jak w innych regionach, koncentracja życia kulturalnego w głównych ośrodkach miejskich (Rzeszowie i Przemyślu) oraz zdecydowanie niższa dostępność do oferty kulturalnej, w szczególności do kultury wysokiej, dla mieszkańców oddalonych od tych ośrodków części regionu. Zachowanie i przekazanie przyszłym pokoleniom posiadanych zasobów wymaga kontynuacji działań na rzecz polepszenia stanu obiektów dziedzictwa kulturowego i obiektów zabytkowych. Jednocześnie, dla wykorzystania potencjału kulturowego konieczny jest dalszy rozwój zasobów i zwiększenie dostępności do nich. Taka diagnoza sytuacji odpowiada wnioskom płynącym z</w:t>
      </w:r>
      <w:r w:rsidR="002F7C58">
        <w:t> </w:t>
      </w:r>
      <w:r>
        <w:t xml:space="preserve"> analizy dokumentów diagnostycznych przygotowanych na potrzeby aktualizacji Strategii Rozwoju Województwa Podkarpackiego.</w:t>
      </w:r>
      <w:r>
        <w:rPr>
          <w:rStyle w:val="Odwoanieprzypisudolnego"/>
        </w:rPr>
        <w:footnoteReference w:id="31"/>
      </w:r>
    </w:p>
    <w:p w:rsidR="00424449" w:rsidRDefault="00424449" w:rsidP="00424449">
      <w:pPr>
        <w:spacing w:after="0"/>
        <w:rPr>
          <w:i/>
        </w:rPr>
      </w:pPr>
      <w:r>
        <w:t>W diagnozie poświęconej zasobom naturalnym regionu zwrócono uwagę na bogate walory przyrodnicze, które pomimo postępujących procesów rozwojowych zachowane zostały w</w:t>
      </w:r>
      <w:r w:rsidR="002F7C58">
        <w:t> </w:t>
      </w:r>
      <w:r>
        <w:t xml:space="preserve"> stosunkowo dobrym stanie. Niemal jedną trzecią (28%) województwa zajmują obszary </w:t>
      </w:r>
      <w:r>
        <w:rPr>
          <w:i/>
        </w:rPr>
        <w:t xml:space="preserve">Natura 2000. </w:t>
      </w:r>
      <w:r>
        <w:t xml:space="preserve">W ślad za Strategią Rozwoju Województwa Podkarpackiego, podkreślono, że różnorodność biologiczna i krajobrazowa stanowią </w:t>
      </w:r>
      <w:r>
        <w:rPr>
          <w:i/>
        </w:rPr>
        <w:t xml:space="preserve">jeden z fundamentów, na których budować można przewagi konkurencyjne regionu. </w:t>
      </w:r>
      <w:r>
        <w:t xml:space="preserve">Z tego względu wskazuje się na potrzebę podjęcia działań mających na celu </w:t>
      </w:r>
      <w:r>
        <w:rPr>
          <w:i/>
        </w:rPr>
        <w:t>przywrócenie bioróżnorodności,</w:t>
      </w:r>
      <w:r>
        <w:rPr>
          <w:rStyle w:val="Odwoanieprzypisudolnego"/>
        </w:rPr>
        <w:footnoteReference w:id="32"/>
      </w:r>
      <w:r>
        <w:rPr>
          <w:i/>
        </w:rPr>
        <w:t xml:space="preserve"> zwiększenie wykorzystania lokalnych walorów przyrodniczych w</w:t>
      </w:r>
      <w:r w:rsidR="002F7C58">
        <w:rPr>
          <w:i/>
        </w:rPr>
        <w:t> </w:t>
      </w:r>
      <w:r>
        <w:rPr>
          <w:i/>
        </w:rPr>
        <w:t xml:space="preserve"> celach turystycznych, wzrost poziomu świadomości ekologicznej mieszkańców i jakości informacji o</w:t>
      </w:r>
      <w:r w:rsidR="002F7C58">
        <w:rPr>
          <w:i/>
        </w:rPr>
        <w:t> </w:t>
      </w:r>
      <w:r>
        <w:rPr>
          <w:i/>
        </w:rPr>
        <w:t xml:space="preserve"> środowisku. </w:t>
      </w:r>
      <w:r>
        <w:t xml:space="preserve">Abstrahując od znaczenia różnorodności biologicznej dla rozwoju regionu, konieczność </w:t>
      </w:r>
      <w:r>
        <w:lastRenderedPageBreak/>
        <w:t>podjęcia działań ochronnych wynika wprost z dyrektyw unijnych</w:t>
      </w:r>
      <w:r>
        <w:rPr>
          <w:rStyle w:val="Odwoanieprzypisudolnego"/>
        </w:rPr>
        <w:footnoteReference w:id="33"/>
      </w:r>
      <w:r>
        <w:t xml:space="preserve"> oraz </w:t>
      </w:r>
      <w:r>
        <w:rPr>
          <w:i/>
        </w:rPr>
        <w:t xml:space="preserve">Priorytetowych ram  działań  dla sieci Natura 2000. </w:t>
      </w:r>
    </w:p>
    <w:p w:rsidR="00424449" w:rsidRDefault="00424449" w:rsidP="00424449">
      <w:pPr>
        <w:spacing w:after="0"/>
      </w:pPr>
    </w:p>
    <w:p w:rsidR="00424449" w:rsidRDefault="00424449" w:rsidP="00424449">
      <w:pPr>
        <w:spacing w:after="0"/>
        <w:rPr>
          <w:i/>
        </w:rPr>
      </w:pPr>
      <w:r>
        <w:t>Jednym z istotnych aspektów dotyczących stanu środowiska jest jakość powietrza. W województwie podkarpackim, analogicznie jak w całym kraju</w:t>
      </w:r>
      <w:r>
        <w:rPr>
          <w:rStyle w:val="Odwoanieprzypisudolnego"/>
        </w:rPr>
        <w:footnoteReference w:id="34"/>
      </w:r>
      <w:r>
        <w:t xml:space="preserve"> obserwowane są przekroczenia dopuszczalnych stężeń zanieczyszczeń.  Wśród szczególnie substancji istotnych ze względu na stan zdrowia,</w:t>
      </w:r>
      <w:r>
        <w:rPr>
          <w:rStyle w:val="Odwoanieprzypisudolnego"/>
        </w:rPr>
        <w:footnoteReference w:id="35"/>
      </w:r>
      <w:r>
        <w:t xml:space="preserve"> w</w:t>
      </w:r>
      <w:r w:rsidR="002F7C58">
        <w:t> </w:t>
      </w:r>
      <w:r>
        <w:t xml:space="preserve"> regionie obserwowane są przekroczenia pyłu zawieszonego PM10, pyłu zawieszonego PM2,5 oraz benzo(a)pirenu. Głównym źródłem tych zanieczyszczeń jest tzw. niska emisja, w dalszej kolejności zanieczyszczenia generowane przez transport oraz źródła przemysłowe. Jak podkreślono w części diagnostycznej dokumentu, obszary przekroczeń dopuszczalnych stężeń tych substancji występują głównie na terenach miast charakteryzujących się intensywną zabudową mieszkaniowo-usługową oraz dużą intensywnością ruchu samochodowego. Aby poprawić stan powietrza, a więc i zmniejszyć czynniki wpływające na pogorszenie stanu zdrowia mieszkańców, konieczne jest podjęcie działań ograniczających generowane zanieczyszczenia. Kluczowe działania w tym obszarze podejmowane będą w osiach związanych z transportem oraz energetyką. Interwencja w ramach osi IV będzie uzupełniać te działania prowadząc do </w:t>
      </w:r>
      <w:r>
        <w:rPr>
          <w:i/>
        </w:rPr>
        <w:t>ograniczenia emisji zanieczyszczeń powietrza w miastach województwa podkarpackiego.</w:t>
      </w:r>
    </w:p>
    <w:p w:rsidR="00424449" w:rsidRDefault="00424449" w:rsidP="00424449">
      <w:pPr>
        <w:spacing w:before="240"/>
      </w:pPr>
      <w:r>
        <w:t xml:space="preserve">W kontekście poprawy jakości obszarów miejskich istotnym problem jest również występowanie terenów zdegradowanych, hamujących potencjał rozwojowy obszarów zurbanizowanych, stanowiących naturalne motory rozwojowe regionu. Tereny zdegradowane to nie tylko problem środowiskowy, to również hamulec w rozwoju społeczno-gospodarczym. Jak słusznie podkreślili autorzy ocenianego dokumentu </w:t>
      </w:r>
      <w:r>
        <w:rPr>
          <w:i/>
        </w:rPr>
        <w:t>obszary tracące dotychczasowe funkcje społeczno-gospodarcze są zagrożone degradacją, marginalizacją oraz brakiem perspektyw rozwojowych.</w:t>
      </w:r>
      <w:r>
        <w:t xml:space="preserve"> Potwierdzają to wnioski z projektu </w:t>
      </w:r>
      <w:r>
        <w:rPr>
          <w:i/>
        </w:rPr>
        <w:t xml:space="preserve">Krajowej Polityki Miejskiej, </w:t>
      </w:r>
      <w:r>
        <w:t>w którym zwrócono uwagę na fakt, że degradacja terenów zurbanizowanych wpływa na jakość życia mieszkańców jednocześnie zmniejszając atrakcyjność terenu i generując większe koszty zarządzania nim.</w:t>
      </w:r>
      <w:r>
        <w:rPr>
          <w:rStyle w:val="Odwoanieprzypisudolnego"/>
        </w:rPr>
        <w:footnoteReference w:id="36"/>
      </w:r>
      <w:r>
        <w:t xml:space="preserve"> Oznacza to konieczność podjęcia interwencji skierowanej na obszary problemowe. </w:t>
      </w:r>
    </w:p>
    <w:p w:rsidR="00424449" w:rsidRDefault="00424449" w:rsidP="00424449">
      <w:r>
        <w:t xml:space="preserve">Zasadniczo w części diagnostycznej dokumentu odzwierciedlono wszystkie najważniejsze kwestie związane z ochroną środowiska, adaptacją do zmian klimatu oraz kulturą, które mogą być przedmiotem interwencji w perspektywie 2014-2020. Główne tezy opisane w sekcji 1 dokumentu, określające stan obecny w poszczególnych tematach, zostały pogłębione na poziomie uzasadnienia dla poszczególnych priorytetów inwestycyjnych. Biorąc pod uwagę przedstawioną diagnozę oraz fakt, </w:t>
      </w:r>
      <w:r>
        <w:lastRenderedPageBreak/>
        <w:t>że w przypadku większość z obszarów planowanych do wsparcia na Polsce, a więc i na województwie podkarpackim spoczywają konkretne zobowiązania wynikające z traktatu akcesyjnego i konkretnych dyrektyw, interwencja we wszystkich obszarach osi IV jest uzasadniona.</w:t>
      </w:r>
    </w:p>
    <w:p w:rsidR="00424449" w:rsidRDefault="00424449" w:rsidP="00424449">
      <w:pPr>
        <w:pStyle w:val="Nagwek3"/>
      </w:pPr>
      <w:r>
        <w:t>Ocena logiki interwencji i proponowanych form wsparcia</w:t>
      </w:r>
    </w:p>
    <w:p w:rsidR="00424449" w:rsidRDefault="00424449" w:rsidP="00424449">
      <w:pPr>
        <w:pStyle w:val="Nagwek4"/>
      </w:pPr>
      <w:r>
        <w:t>Poziom osi priorytetowej</w:t>
      </w:r>
    </w:p>
    <w:p w:rsidR="00424449" w:rsidRDefault="00424449" w:rsidP="00424449">
      <w:r>
        <w:t>W osi IV połączono interwencje z celów tematycznych 5 i 6, włączając w to priorytet poświęcony kulturze. Uwzględnienie kwestii kulturowych łącznie z wsparciem ochrony środowiska jest spójne z</w:t>
      </w:r>
      <w:r w:rsidR="002F7C58">
        <w:t> </w:t>
      </w:r>
      <w:r>
        <w:t xml:space="preserve"> zapisami WRS i UP, w połączeniu z zagadnieniami związanymi ze zmianami klimatu utrudnia jednak stworzenie spójnej logiki interwencji.  Abstrahując od tej uwagi, przesłanki leżące u podstaw interwencji w ramach poszczególnych działań oraz zakres wsparcia w nich przewidziany uznać należy za stosunkowo poprawny. Co do zasady, powinny one doprowadzić do realizacji celu zdefiniowanego jako </w:t>
      </w:r>
      <w:r>
        <w:rPr>
          <w:i/>
        </w:rPr>
        <w:t xml:space="preserve">ochrona środowiska, zachowanie bioróżnorodności oraz wykorzystanie dziedzictwa kulturowego dla zwiększenia atrakcyjności regionu. </w:t>
      </w:r>
      <w:r>
        <w:t xml:space="preserve">Zgodnie z przyjętą logiką interwencji cel osi zostanie osiągnięty dzięki realizacji 6 celów szczegółowych wyznaczonych w ramach poszczególnych </w:t>
      </w:r>
      <w:r w:rsidR="0030071E">
        <w:t>PI</w:t>
      </w:r>
      <w:r>
        <w:t>:</w:t>
      </w:r>
    </w:p>
    <w:p w:rsidR="00424449" w:rsidRDefault="0030071E" w:rsidP="000965A8">
      <w:pPr>
        <w:pStyle w:val="Akapitzlist"/>
        <w:numPr>
          <w:ilvl w:val="0"/>
          <w:numId w:val="25"/>
        </w:numPr>
      </w:pPr>
      <w:r>
        <w:t xml:space="preserve">PI </w:t>
      </w:r>
      <w:r w:rsidR="00424449">
        <w:t>5.2</w:t>
      </w:r>
      <w:r>
        <w:t xml:space="preserve"> </w:t>
      </w:r>
      <w:r w:rsidR="00AD5A7B">
        <w:rPr>
          <w:i/>
        </w:rPr>
        <w:t>Wspieranie inwestycji ukierunkowanych na konkretne rodzaje zagrożeń przy jednoczesnym zwiększeniu odporności na klęski i katastrofy i rozwijaniu systemów zarządzania klęskami i katastrofami</w:t>
      </w:r>
      <w:r w:rsidR="00424449">
        <w:t xml:space="preserve">; </w:t>
      </w:r>
    </w:p>
    <w:p w:rsidR="00424449" w:rsidRDefault="00AD5A7B" w:rsidP="00AD5A7B">
      <w:pPr>
        <w:pStyle w:val="Akapitzlist"/>
        <w:numPr>
          <w:ilvl w:val="0"/>
          <w:numId w:val="25"/>
        </w:numPr>
      </w:pPr>
      <w:r>
        <w:t>6.1</w:t>
      </w:r>
      <w:r w:rsidR="0030071E">
        <w:t xml:space="preserve"> </w:t>
      </w:r>
      <w:r w:rsidRPr="00AD5A7B">
        <w:rPr>
          <w:i/>
        </w:rPr>
        <w:t>Inwestycje w sektor gospodarki odpadami celem wypełnienia zobowiązań określonych w</w:t>
      </w:r>
      <w:r w:rsidR="002F7C58">
        <w:rPr>
          <w:i/>
        </w:rPr>
        <w:t> </w:t>
      </w:r>
      <w:r w:rsidRPr="00AD5A7B">
        <w:rPr>
          <w:i/>
        </w:rPr>
        <w:t xml:space="preserve"> dorobku prawnym Unii w zakresie środowiska oraz zaspokajania wykraczających poza te zobowiązania potrzeb inwestycyjnych, określonych przez państwa członkowskie</w:t>
      </w:r>
      <w:r w:rsidR="00424449">
        <w:t>;</w:t>
      </w:r>
    </w:p>
    <w:p w:rsidR="00424449" w:rsidRDefault="00AD5A7B" w:rsidP="000965A8">
      <w:pPr>
        <w:pStyle w:val="Akapitzlist"/>
        <w:numPr>
          <w:ilvl w:val="0"/>
          <w:numId w:val="25"/>
        </w:numPr>
      </w:pPr>
      <w:r>
        <w:t>6.2</w:t>
      </w:r>
      <w:r w:rsidR="0030071E">
        <w:t xml:space="preserve"> </w:t>
      </w:r>
      <w:r w:rsidRPr="00AD5A7B">
        <w:rPr>
          <w:i/>
        </w:rPr>
        <w:t>Inwestycje w sektor gospodarki wodnej celem wypełnienia zobowiązań określonych w</w:t>
      </w:r>
      <w:r w:rsidR="002F7C58">
        <w:rPr>
          <w:i/>
        </w:rPr>
        <w:t> </w:t>
      </w:r>
      <w:r w:rsidRPr="00AD5A7B">
        <w:rPr>
          <w:i/>
        </w:rPr>
        <w:t xml:space="preserve"> dorobku prawnym Unii w zakresie środowiska oraz zaspokajania wykraczających poza te zobowiązania potrzeb inwestycyjnych, określonych przez państwa członkowskie</w:t>
      </w:r>
      <w:r w:rsidR="00424449">
        <w:t>;</w:t>
      </w:r>
    </w:p>
    <w:p w:rsidR="00424449" w:rsidRDefault="00AD5A7B" w:rsidP="00AD5A7B">
      <w:pPr>
        <w:pStyle w:val="Akapitzlist"/>
        <w:numPr>
          <w:ilvl w:val="0"/>
          <w:numId w:val="25"/>
        </w:numPr>
      </w:pPr>
      <w:r>
        <w:t>6.3</w:t>
      </w:r>
      <w:r w:rsidR="0030071E">
        <w:t xml:space="preserve"> </w:t>
      </w:r>
      <w:r w:rsidRPr="00AD5A7B">
        <w:rPr>
          <w:i/>
        </w:rPr>
        <w:t>Zachowanie, ochrona, promowanie i rozwój dziedzictwa naturalnego i kulturowego</w:t>
      </w:r>
      <w:r w:rsidR="00424449">
        <w:t>;</w:t>
      </w:r>
    </w:p>
    <w:p w:rsidR="00424449" w:rsidRDefault="00424449" w:rsidP="000965A8">
      <w:pPr>
        <w:pStyle w:val="Akapitzlist"/>
        <w:numPr>
          <w:ilvl w:val="0"/>
          <w:numId w:val="25"/>
        </w:numPr>
      </w:pPr>
      <w:r>
        <w:t xml:space="preserve">6.4 </w:t>
      </w:r>
      <w:r w:rsidR="00AD5A7B" w:rsidRPr="00AD5A7B">
        <w:rPr>
          <w:i/>
        </w:rPr>
        <w:t>Ochrona i przywrócenie różnorodności biologicznej, ochrona i rekultywacja gleby oraz wspieranie usług ekosystemowych, także poprzez program „Natura 2000” i zieloną infrastrukturę</w:t>
      </w:r>
      <w:r w:rsidR="00AD5A7B">
        <w:rPr>
          <w:i/>
        </w:rPr>
        <w:t>;</w:t>
      </w:r>
    </w:p>
    <w:p w:rsidR="00424449" w:rsidRDefault="00424449" w:rsidP="00AD5A7B">
      <w:pPr>
        <w:pStyle w:val="Akapitzlist"/>
        <w:numPr>
          <w:ilvl w:val="0"/>
          <w:numId w:val="25"/>
        </w:numPr>
      </w:pPr>
      <w:r>
        <w:t xml:space="preserve">6.5 </w:t>
      </w:r>
      <w:r w:rsidR="00AD5A7B" w:rsidRPr="00AD5A7B">
        <w:rPr>
          <w:i/>
        </w:rPr>
        <w:t>Podejmowanie przedsięwzięć mających na celu poprawę stanu jakości środowiska miejskiego, rewitalizację miast, rekultywację i dekontaminację terenów poprzemysłowych (w</w:t>
      </w:r>
      <w:r w:rsidR="002F7C58">
        <w:rPr>
          <w:i/>
        </w:rPr>
        <w:t> </w:t>
      </w:r>
      <w:r w:rsidR="00AD5A7B" w:rsidRPr="00AD5A7B">
        <w:rPr>
          <w:i/>
        </w:rPr>
        <w:t xml:space="preserve"> tym terenów powojskowych), zmniejszenie zanieczyszczenia powietrza i propagowanie działań służących zmniejszeniu hałasu</w:t>
      </w:r>
      <w:r w:rsidRPr="00AD5A7B">
        <w:rPr>
          <w:i/>
        </w:rPr>
        <w:t>.</w:t>
      </w:r>
    </w:p>
    <w:p w:rsidR="00424449" w:rsidRDefault="00424449" w:rsidP="00424449">
      <w:r>
        <w:t xml:space="preserve">Biorąc pod uwagę tak zdefiniowane rezultaty oraz zakres planowanych działań można uznać, że planowana interwencja będzie wystarczająca dla osiągnięcia wyznaczonego celu. </w:t>
      </w:r>
    </w:p>
    <w:p w:rsidR="00424449" w:rsidRDefault="00424449" w:rsidP="00424449">
      <w:pPr>
        <w:spacing w:after="0"/>
        <w:jc w:val="left"/>
        <w:rPr>
          <w:b/>
          <w:noProof/>
          <w:sz w:val="20"/>
          <w:lang w:eastAsia="pl-PL"/>
        </w:rPr>
        <w:sectPr w:rsidR="00424449" w:rsidSect="00607AE2">
          <w:pgSz w:w="11906" w:h="16838"/>
          <w:pgMar w:top="1985" w:right="1418" w:bottom="1418" w:left="1418" w:header="708" w:footer="708" w:gutter="0"/>
          <w:cols w:space="708"/>
          <w:docGrid w:linePitch="360"/>
        </w:sectPr>
      </w:pPr>
    </w:p>
    <w:p w:rsidR="00424449" w:rsidRDefault="002B679A" w:rsidP="002B679A">
      <w:pPr>
        <w:pStyle w:val="Legenda"/>
        <w:tabs>
          <w:tab w:val="center" w:pos="7001"/>
          <w:tab w:val="left" w:pos="9182"/>
        </w:tabs>
        <w:jc w:val="left"/>
      </w:pPr>
      <w:r>
        <w:lastRenderedPageBreak/>
        <w:tab/>
      </w:r>
      <w:r w:rsidR="00424449">
        <w:t xml:space="preserve">Schemat </w:t>
      </w:r>
      <w:r w:rsidR="001B04AC">
        <w:fldChar w:fldCharType="begin"/>
      </w:r>
      <w:r w:rsidR="008E1D74">
        <w:instrText xml:space="preserve"> SEQ Schemat \* ARABIC </w:instrText>
      </w:r>
      <w:r w:rsidR="001B04AC">
        <w:fldChar w:fldCharType="separate"/>
      </w:r>
      <w:r w:rsidR="00832320">
        <w:rPr>
          <w:noProof/>
        </w:rPr>
        <w:t>6</w:t>
      </w:r>
      <w:r w:rsidR="001B04AC">
        <w:rPr>
          <w:noProof/>
        </w:rPr>
        <w:fldChar w:fldCharType="end"/>
      </w:r>
      <w:r w:rsidR="00424449">
        <w:t>. Model logiczny osi priorytetowej IV</w:t>
      </w:r>
      <w:r>
        <w:tab/>
      </w:r>
    </w:p>
    <w:tbl>
      <w:tblPr>
        <w:tblStyle w:val="Tabela-Siatka"/>
        <w:tblW w:w="5495"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666"/>
      </w:tblGrid>
      <w:tr w:rsidR="00424449" w:rsidTr="00424449">
        <w:trPr>
          <w:jc w:val="center"/>
        </w:trPr>
        <w:tc>
          <w:tcPr>
            <w:tcW w:w="156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4BEDD" w:themeFill="accent1" w:themeFillTint="66"/>
            <w:hideMark/>
          </w:tcPr>
          <w:p w:rsidR="00424449" w:rsidRDefault="00424449" w:rsidP="00424449">
            <w:pPr>
              <w:jc w:val="center"/>
              <w:rPr>
                <w:rFonts w:ascii="Calibri" w:eastAsia="Calibri" w:hAnsi="Calibri" w:cs="Times New Roman"/>
                <w:b/>
                <w:i/>
                <w:noProof/>
                <w:lang w:eastAsia="pl-PL"/>
              </w:rPr>
            </w:pPr>
            <w:r>
              <w:rPr>
                <w:b/>
                <w:i/>
                <w:noProof/>
                <w:sz w:val="20"/>
                <w:lang w:eastAsia="pl-PL"/>
              </w:rPr>
              <w:t>oś priorytetowa IV. Ochrona środowiska naturalnego i dziedzictwa kulturowego</w:t>
            </w:r>
          </w:p>
        </w:tc>
      </w:tr>
      <w:tr w:rsidR="00424449" w:rsidTr="00171893">
        <w:trPr>
          <w:trHeight w:val="7900"/>
          <w:jc w:val="center"/>
        </w:trPr>
        <w:tc>
          <w:tcPr>
            <w:tcW w:w="1557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1B04AC" w:rsidP="00424449">
            <w:pPr>
              <w:spacing w:after="240"/>
              <w:rPr>
                <w:rFonts w:ascii="Calibri" w:eastAsia="Calibri" w:hAnsi="Calibri" w:cs="Times New Roman"/>
                <w:i/>
              </w:rPr>
            </w:pPr>
            <w:r w:rsidRPr="001B04AC">
              <w:rPr>
                <w:noProof/>
                <w:lang w:eastAsia="pl-PL"/>
              </w:rPr>
            </w:r>
            <w:r w:rsidRPr="001B04AC">
              <w:rPr>
                <w:noProof/>
                <w:lang w:eastAsia="pl-PL"/>
              </w:rPr>
              <w:pict>
                <v:group id="Grupa 936" o:spid="_x0000_s1097" style="width:772.5pt;height:380.7pt;mso-position-horizontal-relative:char;mso-position-vertical-relative:line" coordsize="98107,55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">
                  <v:rect id="Prostokąt 937" o:spid="_x0000_s1098" style="position:absolute;width:98082;height:54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DZsMA&#10;AADcAAAADwAAAGRycy9kb3ducmV2LnhtbERPS2vCQBC+C/0PyxR6Ed20By0xGylCaSgFMT7OQ3ZM&#10;gtnZmN0m6b93BaG3+fiek6xH04ieOldbVvA6j0AQF1bXXCo47D9n7yCcR9bYWCYFf+RgnT5NEoy1&#10;HXhHfe5LEULYxaig8r6NpXRFRQbd3LbEgTvbzqAPsCul7nAI4aaRb1G0kAZrDg0VtrSpqLjkv0bB&#10;UGz70/7nS26np8zyNbtu8uO3Ui/P48cKhKfR/4sf7kyH+dES7s+EC2R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sDZsMAAADcAAAADwAAAAAAAAAAAAAAAACYAgAAZHJzL2Rv&#10;d25yZXYueG1sUEsFBgAAAAAEAAQA9QAAAIgDAAAAAA==&#10;" filled="f" stroked="f"/>
                  <v:rect id="Prostokąt 938" o:spid="_x0000_s1099" style="position:absolute;left:17553;top:1901;width:70521;height:4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uRHMUA&#10;AADcAAAADwAAAGRycy9kb3ducmV2LnhtbESPQWsCMRCF7wX/QxjBW822hyJbo4jQVurFakG8DZtx&#10;s7iZrEmq6793DkJvM7w3730znfe+VReKqQls4GVcgCKugm24NvC7+3iegEoZ2WIbmAzcKMF8Nnia&#10;YmnDlX/oss21khBOJRpwOXel1qly5DGNQ0cs2jFEj1nWWGsb8SrhvtWvRfGmPTYsDQ47WjqqTts/&#10;byBO9u682n1/Vovllz006zqfu40xo2G/eAeVqc//5sf1ygp+IbTyjEy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5EcxQAAANwAAAAPAAAAAAAAAAAAAAAAAJgCAABkcnMv&#10;ZG93bnJldi54bWxQSwUGAAAAAAQABAD1AAAAigMAAAAA&#10;" fillcolor="#ccc0d9" stroked="f">
                    <v:textbox>
                      <w:txbxContent>
                        <w:p w:rsidR="00832320" w:rsidRDefault="00832320" w:rsidP="00424449">
                          <w:pPr>
                            <w:jc w:val="center"/>
                            <w:rPr>
                              <w:b/>
                              <w:sz w:val="18"/>
                              <w:szCs w:val="18"/>
                            </w:rPr>
                          </w:pPr>
                          <w:r>
                            <w:rPr>
                              <w:b/>
                              <w:i/>
                              <w:sz w:val="18"/>
                              <w:szCs w:val="18"/>
                            </w:rPr>
                            <w:t>ochrona środowiska przy równoczesnym zachowaniu bioróżnorodności oraz wykorzystanie dziedzictwa kulturowego dla zwiększenia atrakcyjności regionu</w:t>
                          </w:r>
                        </w:p>
                        <w:p w:rsidR="00832320" w:rsidRDefault="00832320" w:rsidP="00424449">
                          <w:pPr>
                            <w:jc w:val="center"/>
                            <w:rPr>
                              <w:b/>
                              <w:sz w:val="18"/>
                              <w:szCs w:val="18"/>
                            </w:rPr>
                          </w:pPr>
                        </w:p>
                      </w:txbxContent>
                    </v:textbox>
                  </v:rect>
                  <v:rect id="Prostokąt 948" o:spid="_x0000_s1100" style="position:absolute;left:70268;top:11004;width:15622;height:1185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sYlsQA&#10;AADcAAAADwAAAGRycy9kb3ducmV2LnhtbERPTWvCQBC9F/wPyxR6q5t6KG3MKiIKsYfSqgS8Ddkx&#10;CWZnQ3ZN0vz6riB4m8f7nGQ5mFp01LrKsoK3aQSCOLe64kLB8bB9/QDhPLLG2jIp+CMHy8XkKcFY&#10;255/qdv7QoQQdjEqKL1vYildXpJBN7UNceDOtjXoA2wLqVvsQ7ip5SyK3qXBikNDiQ2tS8ov+6tR&#10;8NNvZ2nWjdl3NZ6/Niuyp35nlXp5HlZzEJ4G/xDf3akO86NPuD0TLp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LGJbEAAAA3AAAAA8AAAAAAAAAAAAAAAAAmAIAAGRycy9k&#10;b3ducmV2LnhtbFBLBQYAAAAABAAEAPUAAACJAwAAAAA=&#10;" fillcolor="#c2d69b" stroked="f">
                    <v:textbox>
                      <w:txbxContent>
                        <w:p w:rsidR="00832320" w:rsidRDefault="00832320" w:rsidP="00424449">
                          <w:pPr>
                            <w:jc w:val="center"/>
                            <w:rPr>
                              <w:sz w:val="16"/>
                              <w:szCs w:val="18"/>
                            </w:rPr>
                          </w:pPr>
                          <w:r>
                            <w:rPr>
                              <w:sz w:val="16"/>
                              <w:szCs w:val="18"/>
                            </w:rPr>
                            <w:t>Przywrócenie i ochrona różnorodności biologicznej  województwa podkarpackiego (6.4)</w:t>
                          </w:r>
                        </w:p>
                      </w:txbxContent>
                    </v:textbox>
                  </v:rect>
                  <v:shape id="Łącznik prosty ze strzałką 949" o:spid="_x0000_s1101" type="#_x0000_t32" style="position:absolute;left:52813;top:6337;width:25266;height:466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8SusIAAADcAAAADwAAAGRycy9kb3ducmV2LnhtbESPQUsDMRCF74L/IUzBm02qILI2LVYo&#10;7tWuB4/DZkyWbiZLErurv945CN5meG/e+2a7X+KoLpTLkNjCZm1AEffJDewtvHfH20dQpSI7HBOT&#10;hW8qsN9dX22xcWnmN7qcqlcSwqVBC6HWqdG69IEilnWaiEX7TDlilTV77TLOEh5HfWfMg444sDQE&#10;nOglUH8+fUUL2U3HlmL30xoT7v3rwX9059nam9Xy/ASq0lL/zX/XrRP8jeDLMzKB3v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C8SusIAAADcAAAADwAAAAAAAAAAAAAA&#10;AAChAgAAZHJzL2Rvd25yZXYueG1sUEsFBgAAAAAEAAQA+QAAAJADAAAAAA==&#10;" strokecolor="#335a8a">
                    <v:stroke endarrow="open"/>
                  </v:shape>
                  <v:rect id="Prostokąt 950" o:spid="_x0000_s1102" style="position:absolute;left:12280;top:10791;width:16265;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SCTcQA&#10;AADcAAAADwAAAGRycy9kb3ducmV2LnhtbERPTWuDQBC9B/oflin0FldzKMG6CSFEsD2UNClCb4M7&#10;Uak7K+5WbX59txDIbR7vc7LtbDox0uBaywqSKAZBXFndcq3g85wv1yCcR9bYWSYFv+Rgu3lYZJhq&#10;O/EHjSdfixDCLkUFjfd9KqWrGjLoItsTB+5iB4M+wKGWesAphJtOruL4WRpsOTQ02NO+oer79GMU&#10;HKd8VZTjtXxvr5e3w47s1/RqlXp6nHcvIDzN/i6+uQsd5icJ/D8TL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gk3EAAAA3AAAAA8AAAAAAAAAAAAAAAAAmAIAAGRycy9k&#10;b3ducmV2LnhtbFBLBQYAAAAABAAEAPUAAACJAwAAAAA=&#10;" fillcolor="#c2d69b" stroked="f">
                    <v:textbox>
                      <w:txbxContent>
                        <w:p w:rsidR="00832320" w:rsidRDefault="00832320" w:rsidP="00424449">
                          <w:pPr>
                            <w:pStyle w:val="NormalnyWeb"/>
                            <w:jc w:val="center"/>
                            <w:rPr>
                              <w:rFonts w:ascii="Calibri" w:hAnsi="Calibri"/>
                              <w:sz w:val="16"/>
                            </w:rPr>
                          </w:pPr>
                          <w:r>
                            <w:rPr>
                              <w:rFonts w:ascii="Calibri" w:hAnsi="Calibri"/>
                              <w:sz w:val="16"/>
                            </w:rPr>
                            <w:t>Zwiększenie odporności na zagrożenia wynikające ze zmian klimatu występujące na terenie województwa podkarpackiego (5.2)</w:t>
                          </w:r>
                        </w:p>
                      </w:txbxContent>
                    </v:textbox>
                  </v:rect>
                  <v:rect id="Prostokąt 951" o:spid="_x0000_s1103" style="position:absolute;left:32524;top:10836;width:14230;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YcOsQA&#10;AADcAAAADwAAAGRycy9kb3ducmV2LnhtbERPTWuDQBC9B/oflin0lqx6KMFmE0KIYHsoaVKE3gZ3&#10;olJ3VtytWn99txDIbR7vcza7ybRioN41lhXEqwgEcWl1w5WCz0u2XINwHllja5kU/JKD3fZhscFU&#10;25E/aDj7SoQQdikqqL3vUildWZNBt7IdceCutjfoA+wrqXscQ7hpZRJFz9Jgw6Ghxo4ONZXf5x+j&#10;4DRmSV4Mc/HezNe3457s1/hqlXp6nPYvIDxN/i6+uXMd5scJ/D8TLp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2HDrEAAAA3AAAAA8AAAAAAAAAAAAAAAAAmAIAAGRycy9k&#10;b3ducmV2LnhtbFBLBQYAAAAABAAEAPUAAACJAwAAAAA=&#10;" fillcolor="#c2d69b" stroked="f">
                    <v:textbox>
                      <w:txbxContent>
                        <w:p w:rsidR="00832320" w:rsidRDefault="00832320" w:rsidP="00424449">
                          <w:pPr>
                            <w:pStyle w:val="NormalnyWeb"/>
                            <w:jc w:val="center"/>
                          </w:pPr>
                          <w:r>
                            <w:rPr>
                              <w:rFonts w:ascii="Calibri" w:eastAsia="Calibri" w:hAnsi="Calibri"/>
                              <w:sz w:val="16"/>
                              <w:szCs w:val="16"/>
                            </w:rPr>
                            <w:t>Rozwój systemu gospodarki odpadami komunalnymi oraz poprawa gospodarki odpadami innymi niż komunalne w województwie (6.1)</w:t>
                          </w:r>
                        </w:p>
                      </w:txbxContent>
                    </v:textbox>
                  </v:rect>
                  <v:rect id="Prostokąt 952" o:spid="_x0000_s1104" style="position:absolute;left:47544;top:11004;width:12134;height:1207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q5ocMA&#10;AADcAAAADwAAAGRycy9kb3ducmV2LnhtbERPS4vCMBC+L/gfwgjetqkKi1SjiCioh2V9IHgbmrEt&#10;NpPSxLb66zcLC97m43vObNGZUjRUu8KygmEUgyBOrS44U3A+bT4nIJxH1lhaJgVPcrCY9z5mmGjb&#10;8oGao89ECGGXoILc+yqR0qU5GXSRrYgDd7O1QR9gnUldYxvCTSlHcfwlDRYcGnKsaJVTej8+jIKf&#10;djPaXprX5bt43fbrJdlru7NKDfrdcgrCU+ff4n/3Vof5wzH8PRMu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Dq5ocMAAADcAAAADwAAAAAAAAAAAAAAAACYAgAAZHJzL2Rv&#10;d25yZXYueG1sUEsFBgAAAAAEAAQA9QAAAIgDAAAAAA==&#10;" fillcolor="#c2d69b" stroked="f">
                    <v:textbox>
                      <w:txbxContent>
                        <w:p w:rsidR="00832320" w:rsidRDefault="00832320" w:rsidP="00424449">
                          <w:pPr>
                            <w:pStyle w:val="NormalnyWeb"/>
                            <w:jc w:val="center"/>
                          </w:pPr>
                          <w:r>
                            <w:rPr>
                              <w:rFonts w:ascii="Calibri" w:eastAsia="Calibri" w:hAnsi="Calibri"/>
                              <w:sz w:val="16"/>
                              <w:szCs w:val="16"/>
                            </w:rPr>
                            <w:t>Poprawa stanu gospodarki wodno-ściekowej na terenie województwa (6.2)</w:t>
                          </w:r>
                        </w:p>
                      </w:txbxContent>
                    </v:textbox>
                  </v:rect>
                  <v:shape id="Łącznik prosty ze strzałką 953" o:spid="_x0000_s1105" type="#_x0000_t32" style="position:absolute;left:52814;top:6337;width:12472;height:484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QUucAAAADcAAAADwAAAGRycy9kb3ducmV2LnhtbERPTUsDMRC9C/6HMII3m7QWkbVp0UJx&#10;r3Z76HHYjMnSzWRJYnftr2+Egrd5vM9ZbSbfizPF1AXWMJ8pEMRtMB1bDYdm9/QKImVkg31g0vBL&#10;CTbr+7sVViaM/EXnfbaihHCqUIPLeaikTK0jj2kWBuLCfYfoMRcYrTQRxxLue7lQ6kV67Lg0OBxo&#10;66g97X+8hmiGXU2+udRKuWf7+WGPzWnU+vFhen8DkWnK/+KbuzZl/nwJf8+UC+T6C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sUFLnAAAAA3AAAAA8AAAAAAAAAAAAAAAAA&#10;oQIAAGRycy9kb3ducmV2LnhtbFBLBQYAAAAABAAEAPkAAACOAwAAAAA=&#10;" strokecolor="#335a8a">
                    <v:stroke endarrow="open"/>
                  </v:shape>
                  <v:shape id="Łącznik prosty ze strzałką 954" o:spid="_x0000_s1106" type="#_x0000_t32" style="position:absolute;left:20413;top:6337;width:32400;height:445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ae/cMAAADcAAAADwAAAGRycy9kb3ducmV2LnhtbERPTWvCQBC9C/0PyxR6MxsVraRZpQqW&#10;0IskrfdpdkxCs7Mhuybpv+8WhN7m8T4n3U+mFQP1rrGsYBHFIIhLqxuuFHx+nOZbEM4ja2wtk4If&#10;crDfPcxSTLQdOaeh8JUIIewSVFB73yVSurImgy6yHXHgrrY36APsK6l7HEO4aeUyjjfSYMOhocaO&#10;jjWV38XNKFg9f7nD9bJe3qr31Tl7s4ci3+RKPT1Ory8gPE3+X3x3ZzrMX6zh75lwgd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2nv3DAAAA3AAAAA8AAAAAAAAAAAAA&#10;AAAAoQIAAGRycy9kb3ducmV2LnhtbFBLBQYAAAAABAAEAPkAAACRAwAAAAA=&#10;" strokecolor="#335a8a">
                    <v:stroke endarrow="open"/>
                  </v:shape>
                  <v:shape id="Łącznik prosty ze strzałką 955" o:spid="_x0000_s1107" type="#_x0000_t32" style="position:absolute;left:39639;top:6337;width:13174;height:449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QAisEAAADcAAAADwAAAGRycy9kb3ducmV2LnhtbERPTYvCMBC9C/sfwix401Rlu1KNsi4o&#10;4kXa1fvYjG2xmZQmav33G0HwNo/3OfNlZ2pxo9ZVlhWMhhEI4tzqigsFh7/1YArCeWSNtWVS8CAH&#10;y8VHb46JtndO6Zb5QoQQdgkqKL1vEildXpJBN7QNceDOtjXoA2wLqVu8h3BTy3EUxdJgxaGhxIZ+&#10;S8ov2dUomHyf3Op8/Bpfi91kv93YVZbGqVL9z+5nBsJT59/il3urw/xRDM9nwgVy8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pACKwQAAANwAAAAPAAAAAAAAAAAAAAAA&#10;AKECAABkcnMvZG93bnJldi54bWxQSwUGAAAAAAQABAD5AAAAjwMAAAAA&#10;" strokecolor="#335a8a">
                    <v:stroke endarrow="open"/>
                  </v:shape>
                  <v:shape id="Łącznik prosty ze strzałką 956" o:spid="_x0000_s1108" type="#_x0000_t32" style="position:absolute;left:52814;top:6337;width:797;height:466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aKzsAAAADcAAAADwAAAGRycy9kb3ducmV2LnhtbERPTUsDMRC9C/6HMII3m7RClbVp0UJx&#10;r3Z76HHYjMnSzWRJYnftr2+Egrd5vM9ZbSbfizPF1AXWMJ8pEMRtMB1bDYdm9/QKImVkg31g0vBL&#10;CTbr+7sVViaM/EXnfbaihHCqUIPLeaikTK0jj2kWBuLCfYfoMRcYrTQRxxLue7lQaik9dlwaHA60&#10;ddSe9j9eQzTDribfXGql3LP9/LDH5jRq/fgwvb+ByDTlf/HNXZsyf/4Cf8+UC+T6C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vGis7AAAAA3AAAAA8AAAAAAAAAAAAAAAAA&#10;oQIAAGRycy9kb3ducmV2LnhtbFBLBQYAAAAABAAEAPkAAACOAwAAAAA=&#10;" strokecolor="#335a8a">
                    <v:stroke endarrow="open"/>
                  </v:shape>
                  <v:rect id="Prostokąt 957" o:spid="_x0000_s1109" style="position:absolute;left:70289;top:24828;width:15611;height:307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F+cQA&#10;AADcAAAADwAAAGRycy9kb3ducmV2LnhtbESP0WrCQBBF34X+wzKFvukmFlRSV5GCIC0Ipv2AaXZM&#10;gtnZdHeN6d93HgTfZrh37j2z3o6uUwOF2Ho2kM8yUMSVty3XBr6/9tMVqJiQLXaeycAfRdhuniZr&#10;LKy/8YmGMtVKQjgWaKBJqS+0jlVDDuPM98SinX1wmGQNtbYBbxLuOj3PsoV22LI0NNjTe0PVpbw6&#10;A/vhd3n6yVevx/lnulTLMlL4iMa8PI+7N1CJxvQw368PVvBzoZVnZAK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uBfnEAAAA3AAAAA8AAAAAAAAAAAAAAAAAmAIAAGRycy9k&#10;b3ducmV2LnhtbFBLBQYAAAAABAAEAPUAAACJAwAAAAA=&#10;" fillcolor="#d1deee" stroked="f">
                    <v:textbox>
                      <w:txbxContent>
                        <w:p w:rsidR="00832320" w:rsidRDefault="00832320" w:rsidP="00171893">
                          <w:pPr>
                            <w:pStyle w:val="NormalnyWeb"/>
                            <w:spacing w:before="0" w:beforeAutospacing="0" w:after="0" w:afterAutospacing="0"/>
                            <w:rPr>
                              <w:rFonts w:ascii="Calibri" w:hAnsi="Calibri"/>
                              <w:sz w:val="14"/>
                              <w:szCs w:val="14"/>
                            </w:rPr>
                          </w:pPr>
                          <w:r w:rsidRPr="00617F88">
                            <w:rPr>
                              <w:rFonts w:ascii="Calibri" w:hAnsi="Calibri"/>
                              <w:sz w:val="14"/>
                              <w:szCs w:val="14"/>
                            </w:rPr>
                            <w:t xml:space="preserve">- ochrona in-situ i ex-situ zagrożonych gatunków i siedlisk przyrodniczych                                                           - tworzenie i wyposażenie centrów ochrony różnorodności biologicznej na obszarach miejskich i pozamiejskich               </w:t>
                          </w:r>
                          <w:r>
                            <w:rPr>
                              <w:rFonts w:ascii="Calibri" w:hAnsi="Calibri"/>
                              <w:sz w:val="14"/>
                              <w:szCs w:val="14"/>
                            </w:rPr>
                            <w:t xml:space="preserve">        </w:t>
                          </w:r>
                          <w:r w:rsidRPr="00617F88">
                            <w:rPr>
                              <w:rFonts w:ascii="Calibri" w:hAnsi="Calibri"/>
                              <w:sz w:val="14"/>
                              <w:szCs w:val="14"/>
                            </w:rPr>
                            <w:t xml:space="preserve"> </w:t>
                          </w:r>
                          <w:r>
                            <w:rPr>
                              <w:rFonts w:ascii="Calibri" w:hAnsi="Calibri"/>
                              <w:sz w:val="14"/>
                              <w:szCs w:val="14"/>
                            </w:rPr>
                            <w:t xml:space="preserve">               </w:t>
                          </w:r>
                          <w:r w:rsidRPr="00617F88">
                            <w:rPr>
                              <w:rFonts w:ascii="Calibri" w:hAnsi="Calibri"/>
                              <w:sz w:val="14"/>
                              <w:szCs w:val="14"/>
                            </w:rPr>
                            <w:t xml:space="preserve"> </w:t>
                          </w:r>
                          <w:r>
                            <w:rPr>
                              <w:rFonts w:ascii="Calibri" w:hAnsi="Calibri"/>
                              <w:sz w:val="14"/>
                              <w:szCs w:val="14"/>
                            </w:rPr>
                            <w:t xml:space="preserve">     </w:t>
                          </w:r>
                          <w:r w:rsidRPr="00617F88">
                            <w:rPr>
                              <w:rFonts w:ascii="Calibri" w:hAnsi="Calibri"/>
                              <w:sz w:val="14"/>
                              <w:szCs w:val="14"/>
                            </w:rPr>
                            <w:t>- budowa i modernizacja niezbędnej infrastruktury związanej z ochroną, przywróceniem właściwego stanu siedlisk przyrodniczych i gatunków</w:t>
                          </w:r>
                          <w:r>
                            <w:rPr>
                              <w:rFonts w:ascii="Calibri" w:hAnsi="Calibri"/>
                              <w:sz w:val="14"/>
                              <w:szCs w:val="14"/>
                            </w:rPr>
                            <w:t xml:space="preserve">                                           </w:t>
                          </w:r>
                          <w:r w:rsidRPr="00617F88">
                            <w:rPr>
                              <w:rFonts w:ascii="Calibri" w:hAnsi="Calibri"/>
                              <w:sz w:val="14"/>
                              <w:szCs w:val="14"/>
                            </w:rPr>
                            <w:t>-</w:t>
                          </w:r>
                          <w:r>
                            <w:rPr>
                              <w:rFonts w:ascii="Calibri" w:hAnsi="Calibri"/>
                              <w:sz w:val="14"/>
                              <w:szCs w:val="14"/>
                            </w:rPr>
                            <w:t xml:space="preserve">  waloryzacja</w:t>
                          </w:r>
                          <w:r w:rsidRPr="00617F88">
                            <w:rPr>
                              <w:rFonts w:ascii="Calibri" w:hAnsi="Calibri"/>
                              <w:sz w:val="14"/>
                              <w:szCs w:val="14"/>
                            </w:rPr>
                            <w:t xml:space="preserve"> istniejących form ochrony przyrody </w:t>
                          </w:r>
                          <w:r>
                            <w:rPr>
                              <w:rFonts w:ascii="Calibri" w:hAnsi="Calibri"/>
                              <w:sz w:val="14"/>
                              <w:szCs w:val="14"/>
                            </w:rPr>
                            <w:t xml:space="preserve">  </w:t>
                          </w:r>
                          <w:r w:rsidRPr="00617F88">
                            <w:rPr>
                              <w:rFonts w:ascii="Calibri" w:hAnsi="Calibri"/>
                              <w:sz w:val="14"/>
                              <w:szCs w:val="14"/>
                            </w:rPr>
                            <w:t xml:space="preserve"> oraz zada</w:t>
                          </w:r>
                          <w:r>
                            <w:rPr>
                              <w:rFonts w:ascii="Calibri" w:hAnsi="Calibri"/>
                              <w:sz w:val="14"/>
                              <w:szCs w:val="14"/>
                            </w:rPr>
                            <w:t>nia</w:t>
                          </w:r>
                          <w:r w:rsidRPr="00617F88">
                            <w:rPr>
                              <w:rFonts w:ascii="Calibri" w:hAnsi="Calibri"/>
                              <w:sz w:val="14"/>
                              <w:szCs w:val="14"/>
                            </w:rPr>
                            <w:t xml:space="preserve"> wynikających z potrzeby ochrony krajobrazu, </w:t>
                          </w:r>
                          <w:r>
                            <w:rPr>
                              <w:rFonts w:ascii="Calibri" w:hAnsi="Calibri"/>
                              <w:sz w:val="14"/>
                              <w:szCs w:val="14"/>
                            </w:rPr>
                            <w:t xml:space="preserve">                                                                      -r</w:t>
                          </w:r>
                          <w:r w:rsidRPr="00617F88">
                            <w:rPr>
                              <w:rFonts w:ascii="Calibri" w:hAnsi="Calibri"/>
                              <w:sz w:val="14"/>
                              <w:szCs w:val="14"/>
                            </w:rPr>
                            <w:t>ozwój działalności wykorzystującej lokalne zasoby przyrodni</w:t>
                          </w:r>
                          <w:r>
                            <w:rPr>
                              <w:rFonts w:ascii="Calibri" w:hAnsi="Calibri"/>
                              <w:sz w:val="14"/>
                              <w:szCs w:val="14"/>
                            </w:rPr>
                            <w:t>cze</w:t>
                          </w:r>
                        </w:p>
                        <w:p w:rsidR="00832320" w:rsidRPr="00617F88"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 xml:space="preserve"> - </w:t>
                          </w:r>
                          <w:r w:rsidRPr="00617F88">
                            <w:rPr>
                              <w:rFonts w:ascii="Calibri" w:hAnsi="Calibri"/>
                              <w:sz w:val="14"/>
                              <w:szCs w:val="14"/>
                            </w:rPr>
                            <w:t xml:space="preserve">wsparcie ośrodków prowadzących działalność w zakresie edukacji ekologicznej </w:t>
                          </w:r>
                          <w:r>
                            <w:rPr>
                              <w:rFonts w:ascii="Calibri" w:hAnsi="Calibri"/>
                              <w:sz w:val="14"/>
                              <w:szCs w:val="14"/>
                            </w:rPr>
                            <w:t xml:space="preserve">                                    - </w:t>
                          </w:r>
                          <w:r w:rsidRPr="00617F88">
                            <w:rPr>
                              <w:rFonts w:ascii="Calibri" w:hAnsi="Calibri"/>
                              <w:sz w:val="14"/>
                              <w:szCs w:val="14"/>
                            </w:rPr>
                            <w:t>sporządzanie inwentaryzacji nieleśnych siedlisk przyrodniczych w granicach obszarów NATU</w:t>
                          </w:r>
                          <w:r>
                            <w:rPr>
                              <w:rFonts w:ascii="Calibri" w:hAnsi="Calibri"/>
                              <w:sz w:val="14"/>
                              <w:szCs w:val="14"/>
                            </w:rPr>
                            <w:t xml:space="preserve">RA 2000 </w:t>
                          </w:r>
                        </w:p>
                        <w:p w:rsidR="00832320" w:rsidRPr="00617F88" w:rsidRDefault="00832320" w:rsidP="00424449">
                          <w:pPr>
                            <w:pStyle w:val="NormalnyWeb"/>
                            <w:spacing w:before="0" w:beforeAutospacing="0" w:after="0" w:afterAutospacing="0"/>
                            <w:rPr>
                              <w:rFonts w:ascii="Calibri" w:hAnsi="Calibri"/>
                              <w:sz w:val="14"/>
                              <w:szCs w:val="14"/>
                            </w:rPr>
                          </w:pPr>
                        </w:p>
                      </w:txbxContent>
                    </v:textbox>
                  </v:rect>
                  <v:rect id="Prostokąt 958" o:spid="_x0000_s1110" style="position:absolute;left:10416;top:24932;width:25126;height:304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YsEA&#10;AADcAAAADwAAAGRycy9kb3ducmV2LnhtbERP3WrCMBS+H/gO4QjezbQK2nVGkYEgCoLdHuCsOWuL&#10;zUlNstq9/SII3p2P7/esNoNpRU/ON5YVpNMEBHFpdcOVgq/P3WsGwgdkja1lUvBHHjbr0csKc21v&#10;fKa+CJWIIexzVFCH0OVS+rImg35qO+LI/VhnMEToKqkd3mK4aeUsSRbSYMOxocaOPmoqL8WvUbDr&#10;r8vzd5rNT7NjuJTLwpM7eKUm42H7DiLQEJ7ih3uv4/z0De7PxAv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ioGLBAAAA3AAAAA8AAAAAAAAAAAAAAAAAmAIAAGRycy9kb3du&#10;cmV2LnhtbFBLBQYAAAAABAAEAPUAAACGAwAAAAA=&#10;" fillcolor="#d1deee" stroked="f">
                    <v:textbox>
                      <w:txbxContent>
                        <w:p w:rsidR="00832320" w:rsidRPr="00171893" w:rsidRDefault="00832320" w:rsidP="00171893">
                          <w:pPr>
                            <w:pStyle w:val="NormalnyWeb"/>
                            <w:spacing w:before="0" w:beforeAutospacing="0" w:after="0" w:afterAutospacing="0"/>
                            <w:rPr>
                              <w:rFonts w:ascii="Calibri" w:hAnsi="Calibri"/>
                              <w:sz w:val="13"/>
                              <w:szCs w:val="13"/>
                            </w:rPr>
                          </w:pPr>
                          <w:r w:rsidRPr="00171893">
                            <w:rPr>
                              <w:rFonts w:ascii="Calibri" w:hAnsi="Calibri"/>
                              <w:sz w:val="13"/>
                              <w:szCs w:val="13"/>
                            </w:rPr>
                            <w:t>- rozwój form małej retencji (w tym m.in.: zbiorników retencyjnych, zbiorników wodnych służących kształtowaniu zasobów wodnych, zbiorników przeciwpowodziowych, polderów przeciwpowodziowych, odtwarzanie naturalnych obszarów zalewowych) - kompleksowe projekty realizowane przez beneficjentów na obszarze 1 województwa</w:t>
                          </w:r>
                        </w:p>
                        <w:p w:rsidR="00832320" w:rsidRPr="00171893" w:rsidRDefault="00832320" w:rsidP="00171893">
                          <w:pPr>
                            <w:pStyle w:val="NormalnyWeb"/>
                            <w:spacing w:before="0" w:beforeAutospacing="0" w:after="0" w:afterAutospacing="0"/>
                            <w:rPr>
                              <w:rFonts w:ascii="Calibri" w:hAnsi="Calibri"/>
                              <w:sz w:val="13"/>
                              <w:szCs w:val="13"/>
                            </w:rPr>
                          </w:pPr>
                          <w:r w:rsidRPr="00171893">
                            <w:rPr>
                              <w:rFonts w:ascii="Calibri" w:hAnsi="Calibri"/>
                              <w:sz w:val="13"/>
                              <w:szCs w:val="13"/>
                            </w:rPr>
                            <w:t>- wprowadzenie i doskonalenie regionalnego systemu wczesnego ostrzegania i prognozowania zagrożeń, w szczególności powodzi</w:t>
                          </w:r>
                        </w:p>
                        <w:p w:rsidR="00832320" w:rsidRPr="00171893" w:rsidRDefault="00832320" w:rsidP="00171893">
                          <w:pPr>
                            <w:pStyle w:val="NormalnyWeb"/>
                            <w:spacing w:before="0" w:beforeAutospacing="0" w:after="0" w:afterAutospacing="0"/>
                            <w:rPr>
                              <w:rFonts w:ascii="Calibri" w:hAnsi="Calibri"/>
                              <w:sz w:val="13"/>
                              <w:szCs w:val="13"/>
                            </w:rPr>
                          </w:pPr>
                          <w:r w:rsidRPr="00171893">
                            <w:rPr>
                              <w:rFonts w:ascii="Calibri" w:hAnsi="Calibri"/>
                              <w:sz w:val="13"/>
                              <w:szCs w:val="13"/>
                            </w:rPr>
                            <w:t>- wsparcie systemu ratownictwa chemiczno-ekologicznego i służb ratowniczych na wypadek wystąpienia zjawisk katastrofalnych lub poważnych awarii, w tym wyposażenie i wzmocnienie służb ratowniczych, przede wszystkim poprzez zakupy sprzętu do prowadzenia akcji ratowniczych i usuwania skutków katastrof (w zależności od beneficjenta - na poziomie regionalnym – Ochotnicza Straż Pożarna)-</w:t>
                          </w:r>
                        </w:p>
                        <w:p w:rsidR="00832320" w:rsidRPr="00171893" w:rsidRDefault="00832320" w:rsidP="00171893">
                          <w:pPr>
                            <w:pStyle w:val="NormalnyWeb"/>
                            <w:spacing w:before="0" w:beforeAutospacing="0" w:after="0" w:afterAutospacing="0"/>
                            <w:rPr>
                              <w:rFonts w:ascii="Calibri" w:hAnsi="Calibri"/>
                              <w:sz w:val="13"/>
                              <w:szCs w:val="13"/>
                            </w:rPr>
                          </w:pPr>
                          <w:r w:rsidRPr="00171893">
                            <w:rPr>
                              <w:rFonts w:ascii="Calibri" w:hAnsi="Calibri"/>
                              <w:sz w:val="13"/>
                              <w:szCs w:val="13"/>
                            </w:rPr>
                            <w:t>-budowa, rozbudowa lub modernizacja urządzeń dla celów ochrony przed pożarami lasów</w:t>
                          </w:r>
                        </w:p>
                        <w:p w:rsidR="00832320" w:rsidRPr="00171893" w:rsidRDefault="00832320" w:rsidP="00171893">
                          <w:pPr>
                            <w:pStyle w:val="NormalnyWeb"/>
                            <w:spacing w:before="0" w:beforeAutospacing="0" w:after="0" w:afterAutospacing="0"/>
                            <w:rPr>
                              <w:rFonts w:ascii="Calibri" w:hAnsi="Calibri"/>
                              <w:sz w:val="13"/>
                              <w:szCs w:val="13"/>
                            </w:rPr>
                          </w:pPr>
                          <w:r w:rsidRPr="00171893">
                            <w:rPr>
                              <w:rFonts w:ascii="Calibri" w:hAnsi="Calibri"/>
                              <w:sz w:val="13"/>
                              <w:szCs w:val="13"/>
                            </w:rPr>
                            <w:t>-  działania dotyczące zabezpieczenia obszarów miejskich przed niekorzystnymi zjawiskami pogodowymi i ich następstwami, w tym zapewnienie właściwej gospodarki wodami opadowymi i roztopowymi, (demarkacja w oparciu o wielkość miasta: w RPO miasta poniżej 100 tys. mieszkańców)</w:t>
                          </w:r>
                        </w:p>
                        <w:p w:rsidR="00832320" w:rsidRPr="00171893" w:rsidRDefault="00832320" w:rsidP="00743807">
                          <w:pPr>
                            <w:pStyle w:val="NormalnyWeb"/>
                            <w:spacing w:before="0" w:beforeAutospacing="0" w:after="0" w:afterAutospacing="0"/>
                            <w:rPr>
                              <w:rFonts w:ascii="Calibri" w:hAnsi="Calibri"/>
                              <w:sz w:val="13"/>
                              <w:szCs w:val="13"/>
                            </w:rPr>
                          </w:pPr>
                          <w:r w:rsidRPr="00171893">
                            <w:rPr>
                              <w:rFonts w:ascii="Calibri" w:hAnsi="Calibri"/>
                              <w:sz w:val="13"/>
                              <w:szCs w:val="13"/>
                            </w:rPr>
                            <w:t>- inwestycje mające na celu ochronę obszarów ze średnim ryzykiem powodziowym (zgodnie z mapami ryzyka powodziowego</w:t>
                          </w:r>
                        </w:p>
                      </w:txbxContent>
                    </v:textbox>
                  </v:rect>
                  <v:rect id="Prostokąt 959" o:spid="_x0000_s1111" style="position:absolute;left:36333;top:24831;width:11211;height:304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DQsQA&#10;AADcAAAADwAAAGRycy9kb3ducmV2LnhtbESP0WrCQBBF34X+wzKFvunGFFRSV5GCIC0Ipv2AaXZM&#10;gtnZdHeN6d93HgTfZrh37j2z3o6uUwOF2Ho2MJ9loIgrb1uuDXx/7acrUDEhW+w8k4E/irDdPE3W&#10;WFh/4xMNZaqVhHAs0ECTUl9oHauGHMaZ74lFO/vgMMkaam0D3iTcdTrPsoV22LI0NNjTe0PVpbw6&#10;A/vhd3n6ma9ej/lnulTLMlL4iMa8PI+7N1CJxvQw368PVvBzwZdnZAK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0w0LEAAAA3AAAAA8AAAAAAAAAAAAAAAAAmAIAAGRycy9k&#10;b3ducmV2LnhtbFBLBQYAAAAABAAEAPUAAACJAwAAAAA=&#10;" fillcolor="#d1deee" stroked="f">
                    <v:textbox>
                      <w:txbxContent>
                        <w:p w:rsidR="00832320" w:rsidRDefault="00832320" w:rsidP="00171893">
                          <w:pPr>
                            <w:jc w:val="left"/>
                            <w:rPr>
                              <w:sz w:val="14"/>
                              <w:szCs w:val="14"/>
                            </w:rPr>
                          </w:pPr>
                          <w:r>
                            <w:rPr>
                              <w:sz w:val="14"/>
                              <w:szCs w:val="14"/>
                            </w:rPr>
                            <w:t>-</w:t>
                          </w:r>
                          <w:r w:rsidRPr="00682C29">
                            <w:t xml:space="preserve"> </w:t>
                          </w:r>
                          <w:r w:rsidRPr="00682C29">
                            <w:rPr>
                              <w:sz w:val="14"/>
                              <w:szCs w:val="14"/>
                            </w:rPr>
                            <w:t>kompleksowe działania skierowane na poprawę gospodarowania odpadami komunalnymi zgodnie z planami inwestycyjnymi w zakresie gospodarki odpadami komunalnymi zatwierdzanymi przez Ministra Środowiska</w:t>
                          </w:r>
                        </w:p>
                        <w:p w:rsidR="00832320" w:rsidRPr="00617F88" w:rsidRDefault="00832320" w:rsidP="00171893">
                          <w:pPr>
                            <w:jc w:val="left"/>
                            <w:rPr>
                              <w:sz w:val="14"/>
                              <w:szCs w:val="14"/>
                            </w:rPr>
                          </w:pPr>
                          <w:r>
                            <w:rPr>
                              <w:sz w:val="14"/>
                              <w:szCs w:val="14"/>
                            </w:rPr>
                            <w:t xml:space="preserve">- </w:t>
                          </w:r>
                          <w:r w:rsidRPr="00617F88">
                            <w:rPr>
                              <w:sz w:val="14"/>
                              <w:szCs w:val="14"/>
                            </w:rPr>
                            <w:t>kompleksowe działania skierowane na poprawę gospodarowania odpadami innymi niż komunalne</w:t>
                          </w:r>
                        </w:p>
                        <w:p w:rsidR="00832320" w:rsidRDefault="00832320" w:rsidP="00171893">
                          <w:pPr>
                            <w:jc w:val="left"/>
                            <w:rPr>
                              <w:sz w:val="14"/>
                              <w:szCs w:val="14"/>
                            </w:rPr>
                          </w:pPr>
                          <w:r>
                            <w:rPr>
                              <w:sz w:val="14"/>
                              <w:szCs w:val="14"/>
                            </w:rPr>
                            <w:t xml:space="preserve">- </w:t>
                          </w:r>
                          <w:r w:rsidRPr="00617F88">
                            <w:rPr>
                              <w:sz w:val="14"/>
                              <w:szCs w:val="14"/>
                            </w:rPr>
                            <w:t>wsparcie infrastruktury zbierania i przet</w:t>
                          </w:r>
                          <w:r>
                            <w:rPr>
                              <w:sz w:val="14"/>
                              <w:szCs w:val="14"/>
                            </w:rPr>
                            <w:t>warzania odpadów przemysłowych</w:t>
                          </w:r>
                        </w:p>
                        <w:p w:rsidR="00832320" w:rsidRPr="00617F88" w:rsidRDefault="00832320" w:rsidP="00171893">
                          <w:pPr>
                            <w:rPr>
                              <w:sz w:val="14"/>
                              <w:szCs w:val="14"/>
                            </w:rPr>
                          </w:pPr>
                          <w:r>
                            <w:rPr>
                              <w:sz w:val="14"/>
                              <w:szCs w:val="14"/>
                            </w:rPr>
                            <w:t>-</w:t>
                          </w:r>
                          <w:r w:rsidRPr="00617F88">
                            <w:rPr>
                              <w:sz w:val="14"/>
                              <w:szCs w:val="14"/>
                            </w:rPr>
                            <w:t>zamykanie i rekultywacja składowisk odpadów</w:t>
                          </w:r>
                        </w:p>
                      </w:txbxContent>
                    </v:textbox>
                  </v:rect>
                  <v:rect id="Prostokąt 512" o:spid="_x0000_s1112" style="position:absolute;left:47946;top:24880;width:14074;height:306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m2cEA&#10;AADcAAAADwAAAGRycy9kb3ducmV2LnhtbERP3WrCMBS+F3yHcITdadoOZumMIoIgDgTrHuCsOWuL&#10;zUlNYu3e3gwGuzsf3+9ZbUbTiYGcby0rSBcJCOLK6pZrBZ+X/TwH4QOyxs4yKfghD5v1dLLCQtsH&#10;n2koQy1iCPsCFTQh9IWUvmrIoF/Ynjhy39YZDBG6WmqHjxhuOpklyZs02HJsaLCnXUPVtbwbBfvh&#10;tjx/pfnrKfsI12pZenJHr9TLbNy+gwg0hn/xn/ug4/wshd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4ZtnBAAAA3AAAAA8AAAAAAAAAAAAAAAAAmAIAAGRycy9kb3du&#10;cmV2LnhtbFBLBQYAAAAABAAEAPUAAACGAwAAAAA=&#10;" fillcolor="#d1deee" stroked="f">
                    <v:textbox>
                      <w:txbxContent>
                        <w:p w:rsidR="00832320"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171893">
                            <w:rPr>
                              <w:rFonts w:ascii="Calibri" w:hAnsi="Calibri"/>
                              <w:sz w:val="14"/>
                              <w:szCs w:val="14"/>
                            </w:rPr>
                            <w:t>inwestycje dotyczące oczyszczalni ścieków celem spełnienia wymagań dyrektywy ściekowej dotyczącej jakości oczyszczonych ścieków dla aglomeracji z przedziału 2-10 tys. RLM</w:t>
                          </w:r>
                        </w:p>
                        <w:p w:rsidR="00832320" w:rsidRPr="00171893"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w:t>
                          </w:r>
                          <w:r w:rsidRPr="00171893">
                            <w:rPr>
                              <w:rFonts w:ascii="Calibri" w:hAnsi="Calibri"/>
                              <w:sz w:val="14"/>
                              <w:szCs w:val="14"/>
                            </w:rPr>
                            <w:t>budowa kanalizacji ściekowej dla aglomeracji z przedziału 2 - 10 tys. RLM</w:t>
                          </w:r>
                        </w:p>
                        <w:p w:rsidR="00832320" w:rsidRPr="00171893"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w:t>
                          </w:r>
                          <w:r w:rsidRPr="00171893">
                            <w:rPr>
                              <w:rFonts w:ascii="Calibri" w:hAnsi="Calibri"/>
                              <w:sz w:val="14"/>
                              <w:szCs w:val="14"/>
                            </w:rPr>
                            <w:t>budowa systemów gospodarki ściekowej z uwzględnieniem indywidualnych i grupowych oczyszczalni ścieków w terenach zabudowy rozproszonej znajdujących się na obszarach górskich</w:t>
                          </w:r>
                        </w:p>
                        <w:p w:rsidR="00832320"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w:t>
                          </w:r>
                          <w:r w:rsidRPr="00171893">
                            <w:rPr>
                              <w:rFonts w:ascii="Calibri" w:hAnsi="Calibri"/>
                              <w:sz w:val="14"/>
                              <w:szCs w:val="14"/>
                            </w:rPr>
                            <w:t>realizacja projektów dotyczących budowy, rozbudowy i modernizacji systemów zaopatrz</w:t>
                          </w:r>
                          <w:r>
                            <w:rPr>
                              <w:rFonts w:ascii="Calibri" w:hAnsi="Calibri"/>
                              <w:sz w:val="14"/>
                              <w:szCs w:val="14"/>
                            </w:rPr>
                            <w:t>enia w wodę</w:t>
                          </w:r>
                          <w:r w:rsidRPr="00171893">
                            <w:rPr>
                              <w:rFonts w:ascii="Calibri" w:hAnsi="Calibri"/>
                              <w:sz w:val="14"/>
                              <w:szCs w:val="14"/>
                            </w:rPr>
                            <w:t xml:space="preserve"> </w:t>
                          </w:r>
                        </w:p>
                        <w:p w:rsidR="00832320" w:rsidRDefault="00832320" w:rsidP="00171893">
                          <w:pPr>
                            <w:pStyle w:val="NormalnyWeb"/>
                            <w:spacing w:before="0" w:beforeAutospacing="0" w:after="0" w:afterAutospacing="0"/>
                            <w:rPr>
                              <w:rFonts w:ascii="Calibri" w:hAnsi="Calibri"/>
                              <w:sz w:val="14"/>
                              <w:szCs w:val="14"/>
                            </w:rPr>
                          </w:pPr>
                          <w:r>
                            <w:rPr>
                              <w:rFonts w:ascii="Calibri" w:hAnsi="Calibri"/>
                              <w:sz w:val="14"/>
                              <w:szCs w:val="14"/>
                            </w:rPr>
                            <w:t>-</w:t>
                          </w:r>
                          <w:r w:rsidRPr="00171893">
                            <w:rPr>
                              <w:rFonts w:ascii="Calibri" w:hAnsi="Calibri"/>
                              <w:sz w:val="14"/>
                              <w:szCs w:val="14"/>
                            </w:rPr>
                            <w:t xml:space="preserve">zakup urządzeń i aparatury pomiarowej w zakresie gospodarki wodno-ściekowej </w:t>
                          </w:r>
                        </w:p>
                      </w:txbxContent>
                    </v:textbox>
                  </v:rect>
                  <v:shape id="Łącznik prosty ze strzałką 513" o:spid="_x0000_s1113" type="#_x0000_t32" style="position:absolute;left:20412;top:22875;width:2567;height:205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3j68AAAADcAAAADwAAAGRycy9kb3ducmV2LnhtbERPTUsDMRC9C/0PYQRvNnEFKWvT0haK&#10;e7XbQ4/DZkyWbiZLErurv94Igrd5vM9Zb2c/iBvF1AfW8LRUIIi7YHq2Gs7t8XEFImVkg0Ng0vBF&#10;Cbabxd0aaxMmfqfbKVtRQjjVqMHlPNZSps6Rx7QMI3HhPkL0mAuMVpqIUwn3g6yUepEeey4NDkc6&#10;OOqup0+vIZrx2JBvvxul3LN929tLe520frifd68gMs35X/znbkyZX1Xw+0y5QG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Xd4+vAAAAA3AAAAA8AAAAAAAAAAAAAAAAA&#10;oQIAAGRycy9kb3ducmV2LnhtbFBLBQYAAAAABAAEAPkAAACOAwAAAAA=&#10;" strokecolor="#335a8a">
                    <v:stroke endarrow="open"/>
                  </v:shape>
                  <v:shape id="Łącznik prosty ze strzałką 514" o:spid="_x0000_s1114" type="#_x0000_t32" style="position:absolute;left:39639;top:22920;width:2299;height:191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FGcMAAAADcAAAADwAAAGRycy9kb3ducmV2LnhtbERPTWsCMRC9C/0PYQq9aVIFKVujtAVx&#10;r3V76HHYTJPFzWRJUnftr28Ewds83udsdpPvxZli6gJreF4oEMRtMB1bDV/Nfv4CImVkg31g0nCh&#10;BLvtw2yDlQkjf9L5mK0oIZwq1OByHiopU+vIY1qEgbhwPyF6zAVGK03EsYT7Xi6VWkuPHZcGhwN9&#10;OGpPx1+vIZphX5Nv/mql3Moe3u13cxq1fnqc3l5BZJryXXxz16bMX67g+ky5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qRRnDAAAAA3AAAAA8AAAAAAAAAAAAAAAAA&#10;oQIAAGRycy9kb3ducmV2LnhtbFBLBQYAAAAABAAEAPkAAACOAwAAAAA=&#10;" strokecolor="#335a8a">
                    <v:stroke endarrow="open"/>
                  </v:shape>
                  <v:shape id="Łącznik prosty ze strzałką 515" o:spid="_x0000_s1115" type="#_x0000_t32" style="position:absolute;left:53611;top:23082;width:1372;height:1798;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jeBMAAAADcAAAADwAAAGRycy9kb3ducmV2LnhtbERPTUvEMBC9C/6HMII3N3EVkbppUWGx&#10;V7d72OPQjEnZZlKSuK376zeC4G0e73M2zeJHcaKYhsAa7lcKBHEfzMBWw77b3j2DSBnZ4BiYNPxQ&#10;gqa+vtpgZcLMn3TaZStKCKcKNbicp0rK1DvymFZhIi7cV4gec4HRShNxLuF+lGulnqTHgUuDw4ne&#10;HfXH3bfXEM20bcl351Yp92A/3uyhO85a394sry8gMi35X/znbk2Zv36E32fKBb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V43gTAAAAA3AAAAA8AAAAAAAAAAAAAAAAA&#10;oQIAAGRycy9kb3ducmV2LnhtbFBLBQYAAAAABAAEAPkAAACOAwAAAAA=&#10;" strokecolor="#335a8a">
                    <v:stroke endarrow="open"/>
                  </v:shape>
                  <v:shape id="Łącznik prosty ze strzałką 516" o:spid="_x0000_s1116" type="#_x0000_t32" style="position:absolute;left:78079;top:22863;width:15;height:196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bl6MAAAADcAAAADwAAAGRycy9kb3ducmV2LnhtbERPTWsCMRC9F/ofwhS81aQWRLZGaQvS&#10;vep66HHYTJPFzWRJUnfbX28Ewds83uest5PvxZli6gJreJkrEMRtMB1bDcdm97wCkTKywT4wafij&#10;BNvN48MaKxNG3tP5kK0oIZwq1OByHiopU+vIY5qHgbhwPyF6zAVGK03EsYT7Xi6UWkqPHZcGhwN9&#10;OmpPh1+vIZphV5Nv/mul3Kv9+rDfzWnUevY0vb+ByDTlu/jmrk2Zv1jC9Zlygdx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rm5ejAAAAA3AAAAA8AAAAAAAAAAAAAAAAA&#10;oQIAAGRycy9kb3ducmV2LnhtbFBLBQYAAAAABAAEAPkAAACOAwAAAAA=&#10;" strokecolor="#335a8a">
                    <v:stroke endarrow="open"/>
                  </v:shape>
                  <v:rect id="Prostokąt 517" o:spid="_x0000_s1117" style="position:absolute;left:952;top:960;width:8484;height:60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IfIL8A&#10;AADcAAAADwAAAGRycy9kb3ducmV2LnhtbESPSwvCMBCE74L/IazgTVMFH1SjiCJ69XlemrWtNpva&#10;RK3/3giCt11mdubb6bw2hXhS5XLLCnrdCARxYnXOqYLjYd0Zg3AeWWNhmRS8ycF81mxMMdb2xTt6&#10;7n0qQgi7GBVk3pexlC7JyKDr2pI4aBdbGfRhrVKpK3yFcFPIfhQNpcGcQ0OGJS0zSm77h1FwPt03&#10;B201vqPrdWlXo8VABx7VbtWLCQhPtf+bf9dbHfD7I/g+Eya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Eh8gvwAAANwAAAAPAAAAAAAAAAAAAAAAAJgCAABkcnMvZG93bnJl&#10;di54bWxQSwUGAAAAAAQABAD1AAAAhAMAAAAA&#10;" fillcolor="#8064a2" stroked="f">
                    <v:textbox>
                      <w:txbxContent>
                        <w:p w:rsidR="00832320" w:rsidRDefault="00832320" w:rsidP="00424449">
                          <w:pPr>
                            <w:pStyle w:val="NormalnyWeb"/>
                            <w:spacing w:after="0"/>
                            <w:jc w:val="center"/>
                            <w:rPr>
                              <w:rFonts w:ascii="Calibri" w:hAnsi="Calibri"/>
                              <w:b/>
                              <w:color w:val="FFFFFF"/>
                              <w:sz w:val="16"/>
                            </w:rPr>
                          </w:pPr>
                          <w:r>
                            <w:rPr>
                              <w:rFonts w:ascii="Calibri" w:eastAsia="SimSun" w:hAnsi="Calibri"/>
                              <w:b/>
                              <w:color w:val="FFFFFF"/>
                              <w:sz w:val="16"/>
                            </w:rPr>
                            <w:t xml:space="preserve"> cele osi priorytetowej </w:t>
                          </w:r>
                        </w:p>
                      </w:txbxContent>
                    </v:textbox>
                  </v:rect>
                  <v:rect id="Prostokąt 518" o:spid="_x0000_s1118" style="position:absolute;left:927;top:10787;width:8484;height:1208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GbcIA&#10;AADcAAAADwAAAGRycy9kb3ducmV2LnhtbESPwW7CQAxE70j9h5UrcYMNOVQosCCI1KrlRuADrKxJ&#10;AllvyG4h/D0+IHGzNeOZ5+V6cK26UR8azwZm0wQUceltw5WB4+F7MgcVIrLF1jMZeFCA9epjtMTM&#10;+jvv6VbESkkIhwwN1DF2mdahrMlhmPqOWLST7x1GWftK2x7vEu5anSbJl3bYsDTU2FFeU3kp/p0B&#10;/rF/fC7OiJf9rpht07y5XnNjxp/DZgEq0hDf5tf1rxX8VGjlGZlAr5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mEZtwgAAANwAAAAPAAAAAAAAAAAAAAAAAJgCAABkcnMvZG93&#10;bnJldi54bWxQSwUGAAAAAAQABAD1AAAAhwMAAAAA&#10;" fillcolor="#76923c" stroked="f">
                    <v:textbox>
                      <w:txbxContent>
                        <w:p w:rsidR="00832320" w:rsidRDefault="00832320" w:rsidP="00424449">
                          <w:pPr>
                            <w:pStyle w:val="NormalnyWeb"/>
                            <w:spacing w:after="0"/>
                            <w:jc w:val="center"/>
                            <w:rPr>
                              <w:color w:val="FFFFFF"/>
                            </w:rPr>
                          </w:pPr>
                          <w:r>
                            <w:rPr>
                              <w:rFonts w:ascii="Calibri" w:eastAsia="SimSun" w:hAnsi="Calibri"/>
                              <w:b/>
                              <w:bCs/>
                              <w:color w:val="FFFFFF"/>
                              <w:sz w:val="16"/>
                              <w:szCs w:val="16"/>
                            </w:rPr>
                            <w:t>cele szczegółowe priorytetów inwestycyjnych</w:t>
                          </w:r>
                        </w:p>
                      </w:txbxContent>
                    </v:textbox>
                  </v:rect>
                  <v:rect id="Prostokąt 520" o:spid="_x0000_s1119" style="position:absolute;left:1142;top:26186;width:8479;height:2925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gsYMUA&#10;AADcAAAADwAAAGRycy9kb3ducmV2LnhtbESPQW/CMAyF75P4D5GRuK0pSJStNCC0CXUXDrBddvMa&#10;01Q0TtUEWv79MmkSN1vv+X3PxXa0rbhR7xvHCuZJCoK4crrhWsHX5/75BYQPyBpbx6TgTh62m8lT&#10;gbl2Ax/pdgq1iCHsc1RgQuhyKX1lyKJPXEcctbPrLYa49rXUPQ4x3LZykaaZtNhwJBjs6M1QdTld&#10;beTW859DufIHO2TVd1iSKZfvR6Vm03G3BhFoDA/z//WHjvUXr/D3TJx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CxgxQAAANwAAAAPAAAAAAAAAAAAAAAAAJgCAABkcnMv&#10;ZG93bnJldi54bWxQSwUGAAAAAAQABAD1AAAAigMAAAAA&#10;" fillcolor="#366092" stroked="f">
                    <v:textbox>
                      <w:txbxContent>
                        <w:p w:rsidR="00832320" w:rsidRDefault="00832320" w:rsidP="00560120">
                          <w:pPr>
                            <w:pStyle w:val="NormalnyWeb"/>
                            <w:jc w:val="center"/>
                          </w:pPr>
                          <w:r>
                            <w:rPr>
                              <w:rFonts w:ascii="Calibri" w:eastAsia="SimSun" w:hAnsi="Calibri"/>
                              <w:b/>
                              <w:bCs/>
                              <w:color w:val="FCFCFC"/>
                              <w:sz w:val="16"/>
                              <w:szCs w:val="16"/>
                            </w:rPr>
                            <w:t>typy projektów</w:t>
                          </w:r>
                        </w:p>
                      </w:txbxContent>
                    </v:textbox>
                  </v:rect>
                  <v:rect id="Prostokąt 521" o:spid="_x0000_s1120" style="position:absolute;left:60986;top:11178;width:8599;height:118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17tsYA&#10;AADcAAAADwAAAGRycy9kb3ducmV2LnhtbESPQWvCQBCF7wX/wzJCb3WjhVKiq4go2B6KVRG8Ddkx&#10;CWZnQ3abpP565yB4m+G9ee+b2aJ3lWqpCaVnA+NRAoo487bk3MDxsHn7BBUissXKMxn4pwCL+eBl&#10;hqn1Hf9Su4+5khAOKRooYqxTrUNWkMMw8jWxaBffOIyyNrm2DXYS7io9SZIP7bBkaSiwplVB2XX/&#10;5wzsus1ke2pvp5/ydvleL8mfuy9vzOuwX05BRerj0/y43lrBfxd8eUYm0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17tsYAAADcAAAADwAAAAAAAAAAAAAAAACYAgAAZHJz&#10;L2Rvd25yZXYueG1sUEsFBgAAAAAEAAQA9QAAAIsDAAAAAA==&#10;" fillcolor="#c2d69b" stroked="f">
                    <v:textbox>
                      <w:txbxContent>
                        <w:p w:rsidR="00832320" w:rsidRDefault="00832320" w:rsidP="00424449">
                          <w:pPr>
                            <w:pStyle w:val="NormalnyWeb"/>
                            <w:jc w:val="center"/>
                          </w:pPr>
                          <w:r>
                            <w:rPr>
                              <w:rFonts w:ascii="Calibri" w:eastAsia="Calibri" w:hAnsi="Calibri"/>
                              <w:sz w:val="16"/>
                              <w:szCs w:val="16"/>
                            </w:rPr>
                            <w:t>Rozwój zasobów kultury i ochrona zabytków województwa podkarpackiego (6.3)</w:t>
                          </w:r>
                        </w:p>
                      </w:txbxContent>
                    </v:textbox>
                  </v:rect>
                  <v:rect id="Prostokąt 522" o:spid="_x0000_s1121" style="position:absolute;left:62497;top:24827;width:7113;height:3074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wBMIA&#10;AADcAAAADwAAAGRycy9kb3ducmV2LnhtbERPS2rDMBDdB3oHMYXuEvkDTXCjhFIwlBYCcXKAqTW1&#10;TayRK6m2e/uoEMhuHu872/1sejGS851lBekqAUFcW91xo+B8KpcbED4ga+wtk4I/8rDfPSy2WGg7&#10;8ZHGKjQihrAvUEEbwlBI6euWDPqVHYgj922dwRCha6R2OMVw08ssSZ6lwY5jQ4sDvbVUX6pfo6Ac&#10;f9bHr3STH7LPcKnXlSf34ZV6epxfX0AEmsNdfHO/6zg/T+H/mXiB3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IfAEwgAAANwAAAAPAAAAAAAAAAAAAAAAAJgCAABkcnMvZG93&#10;bnJldi54bWxQSwUGAAAAAAQABAD1AAAAhwMAAAAA&#10;" fillcolor="#d1deee" stroked="f">
                    <v:textbox>
                      <w:txbxContent>
                        <w:p w:rsidR="00832320" w:rsidRDefault="00832320" w:rsidP="00424449">
                          <w:pPr>
                            <w:pStyle w:val="NormalnyWeb"/>
                            <w:spacing w:before="0" w:beforeAutospacing="0" w:after="0" w:afterAutospacing="0"/>
                            <w:rPr>
                              <w:rFonts w:ascii="Calibri" w:hAnsi="Calibri"/>
                              <w:sz w:val="14"/>
                              <w:szCs w:val="14"/>
                            </w:rPr>
                          </w:pPr>
                          <w:r>
                            <w:rPr>
                              <w:rFonts w:ascii="Calibri" w:hAnsi="Calibri"/>
                              <w:sz w:val="14"/>
                              <w:szCs w:val="14"/>
                            </w:rPr>
                            <w:t>- Ochrona, zachowanie i zabezpieczenie obiektów dziedzictwa kulturowego i obiektów zabytkowych</w:t>
                          </w:r>
                        </w:p>
                        <w:p w:rsidR="00832320" w:rsidRDefault="00832320" w:rsidP="00424449">
                          <w:pPr>
                            <w:pStyle w:val="NormalnyWeb"/>
                            <w:spacing w:before="0" w:beforeAutospacing="0" w:after="0" w:afterAutospacing="0"/>
                            <w:rPr>
                              <w:rFonts w:ascii="Calibri" w:hAnsi="Calibri"/>
                              <w:sz w:val="14"/>
                            </w:rPr>
                          </w:pPr>
                          <w:r>
                            <w:rPr>
                              <w:rFonts w:ascii="Calibri" w:hAnsi="Calibri"/>
                              <w:sz w:val="14"/>
                            </w:rPr>
                            <w:t xml:space="preserve">- Rozwój zasobów kultury </w:t>
                          </w:r>
                        </w:p>
                      </w:txbxContent>
                    </v:textbox>
                  </v:rect>
                  <v:shape id="Łącznik prosty ze strzałką 523" o:spid="_x0000_s1122" type="#_x0000_t32" style="position:absolute;left:65285;top:23046;width:768;height:178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R1NsAAAADcAAAADwAAAGRycy9kb3ducmV2LnhtbERPTWsCMRC9C/0PYQq9aVIFKVujtAVx&#10;r3V76HHYTJPFzWRJUnftr28Ewds83udsdpPvxZli6gJreF4oEMRtMB1bDV/Nfv4CImVkg31g0nCh&#10;BLvtw2yDlQkjf9L5mK0oIZwq1OByHiopU+vIY1qEgbhwPyF6zAVGK03EsYT7Xi6VWkuPHZcGhwN9&#10;OGpPx1+vIZphX5Nv/mql3Moe3u13cxq1fnqc3l5BZJryXXxz16bMXy3h+ky5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AEdTbAAAAA3AAAAA8AAAAAAAAAAAAAAAAA&#10;oQIAAGRycy9kb3ducmV2LnhtbFBLBQYAAAAABAAEAPkAAACOAwAAAAA=&#10;" strokecolor="#335a8a">
                    <v:stroke endarrow="open"/>
                  </v:shape>
                  <v:rect id="Prostokąt 524" o:spid="_x0000_s1123" style="position:absolute;left:86814;top:11178;width:11268;height:116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lwcIA&#10;AADcAAAADwAAAGRycy9kb3ducmV2LnhtbERPTYvCMBC9C/6HMII3m6ogSzWKiILuQXZVBG9DM7bF&#10;ZlKa2Hb99ZuFBW/zeJ+zWHWmFA3VrrCsYBzFIIhTqwvOFFzOu9EHCOeRNZaWScEPOVgt+70FJtq2&#10;/E3NyWcihLBLUEHufZVI6dKcDLrIVsSBu9vaoA+wzqSusQ3hppSTOJ5JgwWHhhwr2uSUPk5Po+Cr&#10;3U321+Z1PRav++d2TfbWHqxSw0G3noPw1Pm3+N+912H+dAp/z4QL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XBwgAAANwAAAAPAAAAAAAAAAAAAAAAAJgCAABkcnMvZG93&#10;bnJldi54bWxQSwUGAAAAAAQABAD1AAAAhwMAAAAA&#10;" fillcolor="#c2d69b" stroked="f">
                    <v:textbox>
                      <w:txbxContent>
                        <w:p w:rsidR="00832320" w:rsidRDefault="00832320" w:rsidP="00424449">
                          <w:pPr>
                            <w:pStyle w:val="NormalnyWeb"/>
                            <w:jc w:val="center"/>
                          </w:pPr>
                          <w:r>
                            <w:rPr>
                              <w:rFonts w:ascii="Calibri" w:eastAsia="Calibri" w:hAnsi="Calibri"/>
                              <w:sz w:val="16"/>
                              <w:szCs w:val="16"/>
                            </w:rPr>
                            <w:t>Poprawa jakości przestrzeni miejskiej województwa podkarpackiego (6.5)</w:t>
                          </w:r>
                        </w:p>
                      </w:txbxContent>
                    </v:textbox>
                  </v:rect>
                  <v:rect id="Prostokąt 525" o:spid="_x0000_s1124" style="position:absolute;left:86826;top:24826;width:11281;height:305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ZTnMIA&#10;AADcAAAADwAAAGRycy9kb3ducmV2LnhtbERP3WrCMBS+H+wdwhl4N1PbMaUziggF2WBg9QGOzVlb&#10;bE5qEtvu7ZfBYHfn4/s96+1kOjGQ861lBYt5AoK4srrlWsH5VDyvQPiArLGzTAq+ycN28/iwxlzb&#10;kY80lKEWMYR9jgqaEPpcSl81ZNDPbU8cuS/rDIYIXS21wzGGm06mSfIqDbYcGxrsad9QdS3vRkEx&#10;3JbHy2KVfaYf4VotS0/u3Ss1e5p2byACTeFf/Oc+6Dg/e4HfZ+IF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VlOcwgAAANwAAAAPAAAAAAAAAAAAAAAAAJgCAABkcnMvZG93&#10;bnJldi54bWxQSwUGAAAAAAQABAD1AAAAhwMAAAAA&#10;" fillcolor="#d1deee" stroked="f">
                    <v:textbox>
                      <w:txbxContent>
                        <w:p w:rsidR="00832320" w:rsidRDefault="00832320" w:rsidP="00424449">
                          <w:pPr>
                            <w:pStyle w:val="NormalnyWeb"/>
                            <w:spacing w:after="0"/>
                            <w:rPr>
                              <w:rFonts w:ascii="Calibri" w:hAnsi="Calibri"/>
                              <w:sz w:val="14"/>
                              <w:szCs w:val="14"/>
                            </w:rPr>
                          </w:pPr>
                          <w:r>
                            <w:rPr>
                              <w:rFonts w:ascii="Calibri" w:hAnsi="Calibri"/>
                              <w:sz w:val="14"/>
                              <w:szCs w:val="14"/>
                            </w:rPr>
                            <w:t xml:space="preserve">- </w:t>
                          </w:r>
                          <w:r w:rsidRPr="00E36F2A">
                            <w:rPr>
                              <w:rFonts w:ascii="Calibri" w:hAnsi="Calibri"/>
                              <w:sz w:val="14"/>
                              <w:szCs w:val="14"/>
                            </w:rPr>
                            <w:t>rekultywacja lub re</w:t>
                          </w:r>
                          <w:r>
                            <w:rPr>
                              <w:rFonts w:ascii="Calibri" w:hAnsi="Calibri"/>
                              <w:sz w:val="14"/>
                              <w:szCs w:val="14"/>
                            </w:rPr>
                            <w:t>mediacja terenów zdegradowanych                  -</w:t>
                          </w:r>
                          <w:r w:rsidRPr="00E36F2A">
                            <w:rPr>
                              <w:rFonts w:ascii="Calibri" w:hAnsi="Calibri"/>
                              <w:sz w:val="14"/>
                              <w:szCs w:val="14"/>
                            </w:rPr>
                            <w:t>inwestycje w zakresie budowy infrastruktury koniecznej do dokonywania pomiaru zanieczyszczeń oraz powiadamiania ludności o jego poziomie i budowy systemów monitoringu powietrza</w:t>
                          </w:r>
                          <w:r>
                            <w:rPr>
                              <w:rFonts w:ascii="Calibri" w:hAnsi="Calibri"/>
                              <w:sz w:val="14"/>
                              <w:szCs w:val="14"/>
                            </w:rPr>
                            <w:t xml:space="preserve">                             -</w:t>
                          </w:r>
                          <w:r w:rsidRPr="00E36F2A">
                            <w:rPr>
                              <w:rFonts w:ascii="Calibri" w:hAnsi="Calibri"/>
                              <w:sz w:val="14"/>
                              <w:szCs w:val="14"/>
                            </w:rPr>
                            <w:t xml:space="preserve">inwestycje dotyczące ograniczenia emisji </w:t>
                          </w:r>
                          <w:r>
                            <w:rPr>
                              <w:rFonts w:ascii="Calibri" w:hAnsi="Calibri"/>
                              <w:sz w:val="14"/>
                              <w:szCs w:val="14"/>
                            </w:rPr>
                            <w:t xml:space="preserve">hałasu - </w:t>
                          </w:r>
                          <w:r w:rsidRPr="00E36F2A">
                            <w:rPr>
                              <w:rFonts w:ascii="Calibri" w:hAnsi="Calibri"/>
                              <w:sz w:val="14"/>
                              <w:szCs w:val="14"/>
                            </w:rPr>
                            <w:t xml:space="preserve">działania służące poprawie jakości powietrza dla </w:t>
                          </w:r>
                          <w:r>
                            <w:rPr>
                              <w:rFonts w:ascii="Calibri" w:hAnsi="Calibri"/>
                              <w:sz w:val="14"/>
                              <w:szCs w:val="14"/>
                            </w:rPr>
                            <w:t xml:space="preserve">MŚP </w:t>
                          </w:r>
                          <w:r w:rsidRPr="00E36F2A">
                            <w:rPr>
                              <w:rFonts w:ascii="Calibri" w:hAnsi="Calibri"/>
                              <w:sz w:val="14"/>
                              <w:szCs w:val="14"/>
                            </w:rPr>
                            <w:t xml:space="preserve"> </w:t>
                          </w:r>
                        </w:p>
                      </w:txbxContent>
                    </v:textbox>
                  </v:rect>
                  <v:shape id="Łącznik prosty ze strzałką 526" o:spid="_x0000_s1125" type="#_x0000_t32" style="position:absolute;left:92448;top:22865;width:18;height:196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QsAAAADcAAAADwAAAGRycy9kb3ducmV2LnhtbERPTUsDMRC9C/6HMII3m2hpkbVpUaG4&#10;V7s99DhsxmTpZrIksbv21zdCobd5vM9ZbSbfixPF1AXW8DxTIIjbYDq2GvbN9ukVRMrIBvvApOGP&#10;EmzW93crrEwY+ZtOu2xFCeFUoQaX81BJmVpHHtMsDMSF+wnRYy4wWmkijiXc9/JFqaX02HFpcDjQ&#10;p6P2uPv1GqIZtjX55lwr5eb268MemuOo9ePD9P4GItOUb+KruzZl/nwB/8+UC+T6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7ULAAAAA3AAAAA8AAAAAAAAAAAAAAAAA&#10;oQIAAGRycy9kb3ducmV2LnhtbFBLBQYAAAAABAAEAPkAAACOAwAAAAA=&#10;" strokecolor="#335a8a">
                    <v:stroke endarrow="open"/>
                  </v:shape>
                  <v:shape id="Łącznik prosty ze strzałką 527" o:spid="_x0000_s1126" type="#_x0000_t32" style="position:absolute;left:52813;top:6337;width:39635;height:484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9zNcAAAADcAAAADwAAAGRycy9kb3ducmV2LnhtbERPTWsCMRC9F/ofwhR6q4kVRLZGqQXp&#10;XnU99DhspsniZrIkqbvtr28Ewds83uest5PvxYVi6gJrmM8UCOI2mI6thlOzf1mBSBnZYB+YNPxS&#10;gu3m8WGNlQkjH+hyzFaUEE4VanA5D5WUqXXkMc3CQFy47xA95gKjlSbiWMJ9L1+VWkqPHZcGhwN9&#10;OGrPxx+vIZphX5Nv/mql3MJ+7uxXcx61fn6a3t9AZJryXXxz16bMXyzh+ky5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8/czXAAAAA3AAAAA8AAAAAAAAAAAAAAAAA&#10;oQIAAGRycy9kb3ducmV2LnhtbFBLBQYAAAAABAAEAPkAAACOAwAAAAA=&#10;" strokecolor="#335a8a">
                    <v:stroke endarrow="open"/>
                  </v:shape>
                  <w10:wrap type="none"/>
                  <w10:anchorlock/>
                </v:group>
              </w:pict>
            </w:r>
          </w:p>
        </w:tc>
      </w:tr>
    </w:tbl>
    <w:p w:rsidR="00424449" w:rsidRDefault="00424449" w:rsidP="00424449">
      <w:pPr>
        <w:jc w:val="center"/>
        <w:rPr>
          <w:rFonts w:ascii="Calibri" w:eastAsia="Calibri" w:hAnsi="Calibri"/>
          <w:i/>
        </w:rPr>
      </w:pPr>
      <w:r>
        <w:rPr>
          <w:i/>
        </w:rPr>
        <w:t>Źródło: Opracowanie własne.</w:t>
      </w:r>
    </w:p>
    <w:p w:rsidR="00424449" w:rsidRDefault="00424449" w:rsidP="00424449">
      <w:pPr>
        <w:spacing w:after="0"/>
        <w:jc w:val="left"/>
        <w:sectPr w:rsidR="00424449" w:rsidSect="002B679A">
          <w:pgSz w:w="16838" w:h="11906" w:orient="landscape"/>
          <w:pgMar w:top="1701" w:right="1418" w:bottom="1418" w:left="1418" w:header="709" w:footer="709" w:gutter="0"/>
          <w:cols w:space="708"/>
        </w:sectPr>
      </w:pPr>
    </w:p>
    <w:p w:rsidR="00424449" w:rsidRDefault="00424449" w:rsidP="00424449">
      <w:pPr>
        <w:pStyle w:val="Nagwek4"/>
      </w:pPr>
      <w:r>
        <w:lastRenderedPageBreak/>
        <w:t xml:space="preserve">PI 5.2  </w:t>
      </w:r>
      <w:r w:rsidR="0030071E">
        <w:t>Wspieranie inwestycji ukierunkowanych na konkretne rodzaje zagrożeń przy jednoczesnym zwiększeniu odporności na klęski i katastrofy i rozwijaniu systemów zarządzania klęskami i katastrofami</w:t>
      </w:r>
    </w:p>
    <w:p w:rsidR="00424449" w:rsidRDefault="00424449" w:rsidP="00424449">
      <w:r>
        <w:t xml:space="preserve">Cel szczegółowy dla priorytetu inwestycyjnego 5.2  </w:t>
      </w:r>
      <w:r>
        <w:rPr>
          <w:i/>
        </w:rPr>
        <w:t>zwiększenie odporności na zagrożenia wynikające ze zmian klimatu występujące na terenie województwa podkarpackiego</w:t>
      </w:r>
      <w:r>
        <w:t xml:space="preserve"> sformułowany został poprawnie. Planowane działania obejmujące rozwój małej retencji, ochronę obszarów zagrożonych średnim ryzykiem powodziowym, wyposażenie służb ratunkowych, stworzenie systemu wczesnego reagowania i ratownictwa oraz wsparcie obszarów miejskich, zagrożonych powodziami opadowymi i roztopowymi, jak również ochrona lasów przed pożarami przyczynią się do osiągnięcia tak zdefiniowanego celu. Zaproponowane działania odpowiadają na najważniejsze problemy zidentyfikowane w części diagnostycznej dokumentu, znajdują również swoje potwierdzenie w dokumentach strategicznych</w:t>
      </w:r>
      <w:r>
        <w:rPr>
          <w:rStyle w:val="Odwoanieprzypisudolnego"/>
        </w:rPr>
        <w:footnoteReference w:id="37"/>
      </w:r>
      <w:r>
        <w:t xml:space="preserve"> i opracowaniach analitycznych, w których jako główne zagrożenia wynikające ze zmian klimatu wskazuje się powodzie i susze.</w:t>
      </w:r>
      <w:r>
        <w:rPr>
          <w:rStyle w:val="Odwoanieprzypisudolnego"/>
        </w:rPr>
        <w:footnoteReference w:id="38"/>
      </w:r>
    </w:p>
    <w:p w:rsidR="00424449" w:rsidRDefault="00424449" w:rsidP="00424449">
      <w:r>
        <w:t>W uszczegółowieniu opisu celu słusznie na pierwszym miejscu stawia się działania związane z rozwojem systemów monitorowania zagrożeń oraz zarządzania nimi – są to działania kluczowe z punktu widzenia przygotowania regionu na wypadek występowania zagrożeń. W dalszej kolejności wskazując na racjonalizację gospodarki wodnej oraz gospodarowania wodami opadowymi i roztopowymi, pozwalające na zwiększenie odporności na zagrożenia, które już wystąpią, jednak ze względu na ograniczone środki nie pozwalające na diametralną poprawę sytuacji w całym regionie.</w:t>
      </w:r>
    </w:p>
    <w:p w:rsidR="00424449" w:rsidRDefault="00424449" w:rsidP="00424449">
      <w:pPr>
        <w:pStyle w:val="Nagwek4"/>
      </w:pPr>
      <w:r>
        <w:t xml:space="preserve">PI 6.1 </w:t>
      </w:r>
      <w:r w:rsidR="0030071E">
        <w:t>Inwestycje w sektor gospodarki odpadami celem wypełnienia zobowiązań określonych w dorobku prawnym Unii w zakresie środowiska oraz zaspokajania wykraczających poza te zobowiązania potrzeb inwestycyjnych, określonych przez państwa członkowskie</w:t>
      </w:r>
    </w:p>
    <w:p w:rsidR="00424449" w:rsidRDefault="00424449" w:rsidP="00424449">
      <w:pPr>
        <w:spacing w:before="240"/>
      </w:pPr>
      <w:r>
        <w:t xml:space="preserve">Cel szczegółowy </w:t>
      </w:r>
      <w:r w:rsidR="00AD5A7B">
        <w:t>PI</w:t>
      </w:r>
      <w:r>
        <w:t xml:space="preserve"> 6.1 zdefiniowany został jako </w:t>
      </w:r>
      <w:r>
        <w:rPr>
          <w:i/>
        </w:rPr>
        <w:t>rozwój systemu gospodarki odpadami komunalnymi oraz poprawa gospodarki odpadami innymi niż komunalne w województwie.</w:t>
      </w:r>
      <w:r>
        <w:t xml:space="preserve"> Realizacji tak nakreślonej wizji służyć ma wsparcie przeznaczone na zakłady przetwarzania odpadów oraz systemy selektywnej zbiórki odpadów, wdrażanie nowych technologii w zakresie odzysku, recyklingu i</w:t>
      </w:r>
      <w:r w:rsidR="002F7C58">
        <w:t> </w:t>
      </w:r>
      <w:r>
        <w:t xml:space="preserve"> zmniejszenia ilości odpadów, kompleksowe działania skierowane na poprawę gospodarowania odpadami komunalnymi, łącznie z ograniczeniem ich wytwarzania, recykling, gospodarkę odpadami niebezpiecznymi i przemysłowymi oraz zamykanie i rekultywacja składowisk odpadów. Tak szeroki katalog planowanych działań, będzie miał bezpośrednie przełożenie na osiągnięcie celu interwencji. </w:t>
      </w:r>
    </w:p>
    <w:p w:rsidR="00424449" w:rsidRDefault="00424449" w:rsidP="00424449">
      <w:pPr>
        <w:spacing w:before="240"/>
      </w:pPr>
      <w:r>
        <w:t>Dla zwiększenia efektywności interwencji, warto zwrócić uwagę na dotychczasowe doświadczenia we wsparciu tego obszaru interwencji.  Wnioski z wdrażania RPO WP 2007-2013 wskazują na potrzebę promocji ponadlokalnych inwestycji w obszarze gospodarki odpadami, ponieważ dotychczas dominowały rozwiązania lokalne, które nie pozwalały na kompleksowe rozwiązanie problemu.</w:t>
      </w:r>
      <w:r>
        <w:rPr>
          <w:rStyle w:val="Odwoanieprzypisudolnego"/>
        </w:rPr>
        <w:footnoteReference w:id="39"/>
      </w:r>
      <w:r>
        <w:t xml:space="preserve"> W</w:t>
      </w:r>
      <w:r w:rsidR="002F7C58">
        <w:t> </w:t>
      </w:r>
      <w:r>
        <w:t xml:space="preserve"> </w:t>
      </w:r>
      <w:r>
        <w:lastRenderedPageBreak/>
        <w:t>perspektywie finansowej 2014-2020 wskazana jest preferencja dla wsparcie przedsięwzięć o</w:t>
      </w:r>
      <w:r w:rsidR="002F7C58">
        <w:t> </w:t>
      </w:r>
      <w:r>
        <w:t xml:space="preserve"> zasięgu ponadlokalnym.</w:t>
      </w:r>
    </w:p>
    <w:p w:rsidR="00424449" w:rsidRDefault="00424449" w:rsidP="00424449">
      <w:pPr>
        <w:pStyle w:val="Nagwek4"/>
      </w:pPr>
      <w:r>
        <w:t xml:space="preserve">PI 6.2 </w:t>
      </w:r>
      <w:r w:rsidR="00AD5A7B">
        <w:t>Inwestycje w sektor gospodarki wodnej celem wypełnienia zobowiązań określonych w dorobku prawnym Unii w zakresie środowiska oraz zaspokajania wykraczających poza te zobowiązania potrzeb inwestycyjnych, określonych przez państwa członkowskie</w:t>
      </w:r>
    </w:p>
    <w:p w:rsidR="00424449" w:rsidRDefault="00424449" w:rsidP="00424449">
      <w:pPr>
        <w:spacing w:before="240"/>
      </w:pPr>
      <w:r>
        <w:t xml:space="preserve">Cel szczegółowy dla </w:t>
      </w:r>
      <w:r w:rsidR="00AD5A7B">
        <w:t>PI</w:t>
      </w:r>
      <w:r>
        <w:t xml:space="preserve"> 6.2 zdefiniowany został, jako </w:t>
      </w:r>
      <w:r>
        <w:rPr>
          <w:i/>
        </w:rPr>
        <w:t xml:space="preserve">poprawa stanu gospodarki wodno-ściekowej na terenie województwa, </w:t>
      </w:r>
      <w:r>
        <w:t xml:space="preserve">co uznać należy za poprawne sformułowanie. Przewidziany zakres działań powinien doprowadzić do jego osiągnięcia. </w:t>
      </w:r>
    </w:p>
    <w:p w:rsidR="00424449" w:rsidRDefault="00424449" w:rsidP="00424449">
      <w:pPr>
        <w:spacing w:before="240"/>
      </w:pPr>
      <w:r>
        <w:t>W uszczegółowieniu poprzedzającym opis planowanych działań słusznie, w pierwszej kolejności wskazuje się na wyzwanie związane z wypełnieniem wymogów KPOŚK. W dalszej kolejności odnosząc się do problemu związanego z brakiem indywidualnych rozwiązań w zakresie oczyszczania ścieków na terenach o zabudowie rozproszonej, które są szczególnie dotkliwe w przypadku województwa podkarpackiego. Problemem wsparcia w obecnej perspektywie była realizacja inwestycji często nieefektywnych ekonomicznie, w szczególności związanych z budową systemu kanalizacji na obszarach o zabudowie rozproszonej, generujących duże koszty na etapie tworzenia i eksploatacji.</w:t>
      </w:r>
      <w:r>
        <w:rPr>
          <w:rStyle w:val="Odwoanieprzypisudolnego"/>
        </w:rPr>
        <w:footnoteReference w:id="40"/>
      </w:r>
      <w:r>
        <w:t xml:space="preserve"> Z tego względu na etapie  wdrażania należy określić warunku brzegowe wsparcia terenów o zabudowie rozproszonej. Jednym z rozwiązań może być  określenie współczynnika koncentracji mieszkańców na poziomie 120 osób na kilometr bieżącej sieci oraz 90 osób, w przypadku obszarów chronionych oraz  budowa przydomowych oczyszczalni ścieków, tam gdzie tworzenie sieci jest nieuzasadnione ekonomicznie i technicznie.</w:t>
      </w:r>
    </w:p>
    <w:p w:rsidR="00424449" w:rsidRDefault="00424449" w:rsidP="00424449">
      <w:pPr>
        <w:spacing w:before="240"/>
      </w:pPr>
      <w:r>
        <w:t>W kontekście rozwiązania problemu zagospodarowania osadów ściekowych, które jak wskazują wyniki ewaluacji osi IV RPO WP 2007-2013</w:t>
      </w:r>
      <w:r>
        <w:rPr>
          <w:rStyle w:val="Odwoanieprzypisudolnego"/>
        </w:rPr>
        <w:footnoteReference w:id="41"/>
      </w:r>
      <w:r>
        <w:t xml:space="preserve"> są istotnym problemem w województwie podkarpackim, w przypadku wybierania projektów dotyczących oczyszczalni ścieków, pierwszeństwo powinny mieć te instalacje, w których rozwiązywany będzie problem zagospodarowania osadów. Co więcej, przy ograniczonych środkach, dla wypełnienia zobowiązań akcesyjnych wskazane jest priorytetowe traktowanie projektów kompleksowych, pozwalających na domknięcie systemów kanalizacyjnych w aglomeracjach wskazanych w KPOŚK. </w:t>
      </w:r>
    </w:p>
    <w:p w:rsidR="00424449" w:rsidRDefault="00424449" w:rsidP="00424449">
      <w:pPr>
        <w:spacing w:before="240"/>
      </w:pPr>
      <w:r>
        <w:t>Autorzy dokumentu słusznie uwzględnili wsparcie systemów zaopatrzenia w wodę jedynie w ramach kompleksowych projektów zapewniających również rozwój gospodarki ściekowej. Podejście takie jest zgodne z wnioskami z obecnej perspektywy, w której zdarzało się, że na terenie jednej gminy realizowano dwie oddzielne inwestycje związane z wodociągami i kanalizacją, generujące większe koszty, niż projekt kompleksowy.</w:t>
      </w:r>
      <w:r>
        <w:rPr>
          <w:rStyle w:val="Odwoanieprzypisudolnego"/>
        </w:rPr>
        <w:footnoteReference w:id="42"/>
      </w:r>
    </w:p>
    <w:p w:rsidR="00424449" w:rsidRDefault="00424449" w:rsidP="00424449">
      <w:pPr>
        <w:pStyle w:val="Nagwek4"/>
      </w:pPr>
      <w:r>
        <w:t xml:space="preserve">PI 6.3 </w:t>
      </w:r>
      <w:r w:rsidR="00AD5A7B">
        <w:t>Zachowanie, ochrona, promowanie i rozwój dziedzictwa naturalnego i kulturowego</w:t>
      </w:r>
    </w:p>
    <w:p w:rsidR="00424449" w:rsidRDefault="00424449" w:rsidP="00424449">
      <w:pPr>
        <w:spacing w:before="240"/>
      </w:pPr>
      <w:r>
        <w:t xml:space="preserve">Cel szczegółowy priorytetu inwestycyjnego 6.3 zdefiniowany został, jako </w:t>
      </w:r>
      <w:r>
        <w:rPr>
          <w:i/>
        </w:rPr>
        <w:t>rozwój zasobów kultury i</w:t>
      </w:r>
      <w:r w:rsidR="002F7C58">
        <w:rPr>
          <w:i/>
        </w:rPr>
        <w:t> </w:t>
      </w:r>
      <w:r>
        <w:rPr>
          <w:i/>
        </w:rPr>
        <w:t xml:space="preserve"> ochrona zabytków województwa podkarpackiego. </w:t>
      </w:r>
      <w:r>
        <w:t xml:space="preserve">W ramach wsparcia tak sformułowanego celu </w:t>
      </w:r>
      <w:r>
        <w:lastRenderedPageBreak/>
        <w:t xml:space="preserve">przewidziano możliwość dofinansowania ochrony, zachowania i zabezpieczenia obiektów dziedzictwa kulturowego i obiektów zabytkowych. Oba działania będą miały bezpośrednie przełożenie na osiągnięcie celu priorytetu. </w:t>
      </w:r>
    </w:p>
    <w:p w:rsidR="00424449" w:rsidRDefault="00424449" w:rsidP="00424449">
      <w:r>
        <w:t xml:space="preserve">Zaproponowaną logikę interwencji uznać należy za stosunkowo poprawną, zgodnie z wcześniejszymi rekomendacjami, uwzględnia ona dwutorowe podejście do kwestii kultury, obejmując z jednej strony konserwacje posiadanych zasobów i z drugiej, zwiększenie dostępności do niej dla mieszkańców obszarów położonych poza głównymi ośrodkami miejskim. Biorąc pod uwagę zdiagnozowane problemy i potencjały, zgodne z wnioskami z </w:t>
      </w:r>
      <w:r>
        <w:rPr>
          <w:i/>
        </w:rPr>
        <w:t xml:space="preserve">Diagnozy sytuacji społeczno-gospodarczej województwa podkarpackiego </w:t>
      </w:r>
      <w:r>
        <w:t xml:space="preserve">jest to słuszne ukierunkowanie wsparcia w przypadku województwa podkarpackiego. </w:t>
      </w:r>
    </w:p>
    <w:p w:rsidR="00424449" w:rsidRDefault="00424449" w:rsidP="00424449">
      <w:pPr>
        <w:pStyle w:val="Nagwek4"/>
      </w:pPr>
      <w:r>
        <w:t xml:space="preserve">PI 6.4  </w:t>
      </w:r>
      <w:r w:rsidR="00AD5A7B">
        <w:t>Ochrona i przywrócenie różnorodności biologicznej, ochrona i rekultywacja gleby oraz wspieranie usług ekosystemowych, także poprzez program „Natura 2000” i zieloną infrastrukturę</w:t>
      </w:r>
    </w:p>
    <w:p w:rsidR="00424449" w:rsidRDefault="00424449" w:rsidP="00424449">
      <w:pPr>
        <w:spacing w:before="240"/>
      </w:pPr>
      <w:r>
        <w:t xml:space="preserve">Interwencja w ramach </w:t>
      </w:r>
      <w:r w:rsidR="00AD5A7B">
        <w:t>PI</w:t>
      </w:r>
      <w:r>
        <w:t xml:space="preserve"> 6.4 będzie miała na celu </w:t>
      </w:r>
      <w:r>
        <w:rPr>
          <w:i/>
        </w:rPr>
        <w:t>przywrócenie i ochronę różnorodności biologicznej</w:t>
      </w:r>
      <w:r w:rsidR="00375B94">
        <w:rPr>
          <w:i/>
        </w:rPr>
        <w:t xml:space="preserve"> województwa podkarpackiego</w:t>
      </w:r>
      <w:r>
        <w:rPr>
          <w:i/>
        </w:rPr>
        <w:t xml:space="preserve">. </w:t>
      </w:r>
      <w:r>
        <w:t xml:space="preserve">Tak zdefiniowany cel należy ocenić pozytywnie, oddaje on oczekiwane efekty planowanej interwencji. </w:t>
      </w:r>
    </w:p>
    <w:p w:rsidR="00424449" w:rsidRDefault="00424449" w:rsidP="00424449">
      <w:r>
        <w:t>Zakres działań możliwych do realizacji w priorytecie inwestycyjnym 6.4 jest stosunkowo szeroki, jednocześnie trudno wymagać jego ograniczenia ze względu na złożoność zagadnień związanych z</w:t>
      </w:r>
      <w:r w:rsidR="002F7C58">
        <w:t> </w:t>
      </w:r>
      <w:r>
        <w:t xml:space="preserve"> zachowaniem i ochroną różnorodności biologicznej. Z tego względu, w uszczegółowieniu zapisów słusznie wskazuje się na potrzebę ochrony siedlisk gatunków zagrożonych, oraz ograniczenie antropopresji, również poprzez działania edukacyjne.</w:t>
      </w:r>
      <w:r>
        <w:rPr>
          <w:rStyle w:val="Odwoanieprzypisudolnego"/>
        </w:rPr>
        <w:footnoteReference w:id="43"/>
      </w:r>
      <w:r>
        <w:t xml:space="preserve"> Z drugiej strony podkreślając potrzebę wspierania walorów środowiskowych dla rozwijania funkcji turystycznych regionu, przy jednoczesnej ich ochronie, w tym poprzez ukierunkowanie ruchu turystycznego. </w:t>
      </w:r>
    </w:p>
    <w:p w:rsidR="00424449" w:rsidRDefault="00424449" w:rsidP="00424449">
      <w:r>
        <w:t>Mając na uwadze efektywność interwencji warto zwrócić uwagę na ogólnopolskie doświadczenia związane z wsparciem na rzecz ochrony różnorodności biologicznej. Z przeprowadzonych badań wynika zasadność wskazania beneficjentom konkretnej listy priorytetowych siedlisk i obszarów, które w pierwszej kolejności powinny być objęte wsparciem, działanie takie umożliwiłoby ograniczenie ryzyka rozproszenia środków i co za tym idzie efektywności interwencji.</w:t>
      </w:r>
      <w:r>
        <w:rPr>
          <w:rStyle w:val="Odwoanieprzypisudolnego"/>
        </w:rPr>
        <w:footnoteReference w:id="44"/>
      </w:r>
      <w:r>
        <w:t xml:space="preserve"> W związku z tym sugerujemy, na poziomie uszczegółowienia programu wskazać na kilka kluczowych obszarów wsparcia, w rozumieniu terenów i gatunków, które powinny zostać w pierwszej kolejności objęte działaniami ochronnymi.</w:t>
      </w:r>
    </w:p>
    <w:p w:rsidR="00424449" w:rsidRDefault="00424449" w:rsidP="00424449">
      <w:pPr>
        <w:pStyle w:val="Nagwek4"/>
      </w:pPr>
      <w:r>
        <w:lastRenderedPageBreak/>
        <w:t xml:space="preserve">PI 6.5 </w:t>
      </w:r>
      <w:r w:rsidR="00AD5A7B">
        <w:t xml:space="preserve">Podejmowanie przedsięwzięć mających na celu poprawę stanu jakości środowiska miejskiego, rewitalizację miast, rekultywację i dekontaminację terenów poprzemysłowych (w tym terenów powojskowych), zmniejszenie zanieczyszczenia powietrza i propagowanie działań służących zmniejszeniu hałasu </w:t>
      </w:r>
    </w:p>
    <w:p w:rsidR="00424449" w:rsidRDefault="00424449" w:rsidP="00424449">
      <w:pPr>
        <w:spacing w:before="240"/>
      </w:pPr>
      <w:r>
        <w:t xml:space="preserve">Cel interwencji w ramach </w:t>
      </w:r>
      <w:r w:rsidR="00AD5A7B">
        <w:t>PI</w:t>
      </w:r>
      <w:r>
        <w:t xml:space="preserve"> 6.5 został zdefiniowany, jako </w:t>
      </w:r>
      <w:r>
        <w:rPr>
          <w:i/>
        </w:rPr>
        <w:t xml:space="preserve">poprawa jakości przestrzeni miejskiej województwa podkarpackiego. </w:t>
      </w:r>
      <w:r>
        <w:t xml:space="preserve">Zakres planowanej interwencji obejmujący: zmianę dotychczasowych funkcji terenów zdegradowanych i poprzemysłowych z przeznaczeniem na cele środowiskowe, budowę infrastruktury do pomiaru zanieczyszczeń oraz powiadamiania ludności o poziomie zanieczyszczeń, ograniczenie emisji hałasu oraz wsparcie MŚP w zakresie ochrony powietrza, powinien się przyczynić do osiągnięcia tego stosunkowo szerokiego celu. </w:t>
      </w:r>
    </w:p>
    <w:p w:rsidR="00424449" w:rsidRDefault="00424449" w:rsidP="00424449">
      <w:pPr>
        <w:spacing w:before="240"/>
      </w:pPr>
      <w:r>
        <w:t>Z dostępnych analiz wynika, że najczęstszą przyczyną przekroczeń norm powietrza w miastach są zanieczyszczenia spowodowane niską emisją oraz transportem, zanieczyszczenia przemysłowe zajmują kolejne miejsca.</w:t>
      </w:r>
      <w:r>
        <w:rPr>
          <w:rStyle w:val="Odwoanieprzypisudolnego"/>
        </w:rPr>
        <w:footnoteReference w:id="45"/>
      </w:r>
      <w:r>
        <w:t xml:space="preserve"> Interwencja w obszarze dwóch najbardziej uciążliwych źródeł zanieczyszczeń realizowana będzie w osi II (ograniczenie niskiej emisji w sektorze komunalno-bytowym) oraz V (ograniczenie zanieczyszczeń z transportu), z tego względu uwzględnienie wsparcia dla MŚP uznać należy za poprawne. Szczególnie, że dostępne badania wskazują, że działania MŚP w</w:t>
      </w:r>
      <w:r w:rsidR="002F7C58">
        <w:t> </w:t>
      </w:r>
      <w:r>
        <w:t xml:space="preserve"> zakresie poprawy jakości powietrza są inwestycjami drogim, nie wpływającymi na rentowność przedsiębiorstwa, a wiec mało atrakcyjnymi do realizacji ze środków własnych, co uzasadnia dotowanie takich działań ze środków unijnych.</w:t>
      </w:r>
      <w:r>
        <w:rPr>
          <w:rStyle w:val="Odwoanieprzypisudolnego"/>
        </w:rPr>
        <w:footnoteReference w:id="46"/>
      </w:r>
    </w:p>
    <w:p w:rsidR="00424449" w:rsidRDefault="00424449" w:rsidP="00424449">
      <w:pPr>
        <w:spacing w:before="240"/>
      </w:pPr>
      <w:r>
        <w:t>Wsparcie obszarów zdegradowanych, w celu nadania im nowych funkcji oddaje założenia podejścia zintegrowanego, postulowanego między innymi w Założeniach Krajowej Polityki Miejskiej.</w:t>
      </w:r>
      <w:r>
        <w:rPr>
          <w:rStyle w:val="Odwoanieprzypisudolnego"/>
        </w:rPr>
        <w:footnoteReference w:id="47"/>
      </w:r>
      <w:r>
        <w:t xml:space="preserve"> Dla zwiększenia efektywności interwencji wskazana jest koncentracja na projektach stanowiących element kompleksowych planów zagospodarowania danego terenu, lub kompleksowo rozwiązujących dany problem. Jak wskazują doświadczenia międzynarodowe, rola terenów zielonych w kompleksowej rewitalizacji obszarów zdegradowanych może być jednym z kluczowych elementów ich rewitalizacji.</w:t>
      </w:r>
      <w:r>
        <w:rPr>
          <w:rStyle w:val="Odwoanieprzypisudolnego"/>
        </w:rPr>
        <w:footnoteReference w:id="48"/>
      </w:r>
    </w:p>
    <w:p w:rsidR="00424449" w:rsidRDefault="00424449" w:rsidP="00424449">
      <w:pPr>
        <w:pStyle w:val="Nagwek3"/>
        <w:rPr>
          <w:rFonts w:ascii="Calibri Light" w:eastAsia="Times New Roman" w:hAnsi="Calibri Light"/>
        </w:rPr>
      </w:pPr>
      <w:r>
        <w:t>Ocena wskaźników</w:t>
      </w:r>
    </w:p>
    <w:p w:rsidR="00424449" w:rsidRDefault="00424449" w:rsidP="00424449">
      <w:pPr>
        <w:pStyle w:val="Nagwek4"/>
      </w:pPr>
      <w:r>
        <w:t xml:space="preserve">Wskaźniki rezultatu </w:t>
      </w:r>
    </w:p>
    <w:p w:rsidR="00424449" w:rsidRDefault="00424449" w:rsidP="00424449">
      <w:r>
        <w:t xml:space="preserve">Dobór wskaźników rezultatu strategicznego nie budzi kontrowersji. Uwzględniając dostępność informacji w statystykach publicznych oraz pozostałych źródłach, proponowana lista wskaźników umożliwi monitorowanie kluczowych rezultatów interwencji. </w:t>
      </w:r>
    </w:p>
    <w:p w:rsidR="00A329D8" w:rsidRDefault="00A329D8" w:rsidP="00424449">
      <w:pPr>
        <w:pStyle w:val="Legenda"/>
      </w:pPr>
    </w:p>
    <w:p w:rsidR="00A329D8" w:rsidRDefault="00A329D8" w:rsidP="00424449">
      <w:pPr>
        <w:pStyle w:val="Legenda"/>
      </w:pPr>
    </w:p>
    <w:p w:rsidR="00424449" w:rsidRDefault="00424449" w:rsidP="00424449">
      <w:pPr>
        <w:pStyle w:val="Legenda"/>
      </w:pPr>
      <w:r>
        <w:lastRenderedPageBreak/>
        <w:t xml:space="preserve">Tabela </w:t>
      </w:r>
      <w:r w:rsidR="001B04AC">
        <w:fldChar w:fldCharType="begin"/>
      </w:r>
      <w:r w:rsidR="008E1D74">
        <w:instrText xml:space="preserve"> SEQ Tabela \* ARABIC </w:instrText>
      </w:r>
      <w:r w:rsidR="001B04AC">
        <w:fldChar w:fldCharType="separate"/>
      </w:r>
      <w:r w:rsidR="00832320">
        <w:rPr>
          <w:noProof/>
        </w:rPr>
        <w:t>16</w:t>
      </w:r>
      <w:r w:rsidR="001B04AC">
        <w:rPr>
          <w:noProof/>
        </w:rPr>
        <w:fldChar w:fldCharType="end"/>
      </w:r>
      <w:r>
        <w:t>. Oś priorytetowa IV – ocena wskaźników rezultatu strategicznego</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3115"/>
        <w:gridCol w:w="1721"/>
        <w:gridCol w:w="2389"/>
        <w:gridCol w:w="2061"/>
      </w:tblGrid>
      <w:tr w:rsidR="00424449" w:rsidTr="00424449">
        <w:trPr>
          <w:tblHeader/>
        </w:trPr>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wskaźnik rezultatu</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priorytety inwestycyjne</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rFonts w:ascii="Calibri" w:eastAsia="Calibri" w:hAnsi="Calibri" w:cs="Times New Roman"/>
                <w:b/>
                <w:color w:val="FFFFFF" w:themeColor="background1"/>
                <w:sz w:val="20"/>
              </w:rPr>
            </w:pPr>
            <w:r>
              <w:rPr>
                <w:b/>
                <w:color w:val="FFFFFF" w:themeColor="background1"/>
                <w:sz w:val="20"/>
              </w:rPr>
              <w:t>ocena doboru wskaźnika</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hideMark/>
          </w:tcPr>
          <w:p w:rsidR="00424449" w:rsidRDefault="00424449" w:rsidP="00424449">
            <w:pPr>
              <w:spacing w:before="120" w:after="120"/>
              <w:jc w:val="center"/>
              <w:rPr>
                <w:b/>
                <w:color w:val="FFFFFF" w:themeColor="background1"/>
                <w:sz w:val="20"/>
              </w:rPr>
            </w:pPr>
            <w:r>
              <w:rPr>
                <w:b/>
                <w:color w:val="FFFFFF" w:themeColor="background1"/>
                <w:sz w:val="20"/>
              </w:rPr>
              <w:t>ocena wartości docelowej</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Pr>
                <w:i/>
                <w:sz w:val="20"/>
              </w:rPr>
              <w:t>Pojemność obiektów małej retencji wodnej</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5.2</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Pr>
                <w:i/>
                <w:sz w:val="20"/>
              </w:rPr>
              <w:t>Udział odebranych i zbieranych odpadów takich jak papier i tektura, metale, szkło oraz tworzywa sztuczne, w masie wszystkich odebranych i zebranych odpadów komunalnych w skali województwa</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6.1</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Pr>
                <w:i/>
                <w:sz w:val="20"/>
              </w:rPr>
              <w:t>Odsetek ludności korzystającej z oczyszczalni ścieków</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6.2</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Pr>
                <w:i/>
                <w:sz w:val="20"/>
              </w:rPr>
              <w:t>Zwiedzający muzea i oddziały muzealne (ogółem) w tysiącach</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6.3</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brak uwag</w:t>
            </w:r>
            <w:r>
              <w:rPr>
                <w:sz w:val="20"/>
                <w:szCs w:val="18"/>
                <w:highlight w:val="yellow"/>
              </w:rPr>
              <w:t xml:space="preserve"> </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szCs w:val="18"/>
                <w:highlight w:val="yellow"/>
              </w:rPr>
            </w:pPr>
            <w:r>
              <w:rPr>
                <w:sz w:val="20"/>
              </w:rPr>
              <w:t>brak uwag</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Pr>
                <w:i/>
                <w:sz w:val="20"/>
              </w:rPr>
              <w:t xml:space="preserve">Powierzchnia form ochrony przyrody objęta planami </w:t>
            </w:r>
            <w:r w:rsidRPr="00682C29">
              <w:rPr>
                <w:i/>
                <w:sz w:val="20"/>
              </w:rPr>
              <w:t>(parki krajobrazowe i rezerwaty przyrody)</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6.4</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31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sz w:val="20"/>
              </w:rPr>
            </w:pPr>
            <w:r w:rsidRPr="00E36F2A">
              <w:rPr>
                <w:i/>
                <w:sz w:val="20"/>
              </w:rPr>
              <w:t>Powierzchnia terenów zdegradowanych i zdewastowanych wymagających rekultywacji</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rFonts w:ascii="Calibri" w:eastAsia="Calibri" w:hAnsi="Calibri" w:cs="Times New Roman"/>
                <w:sz w:val="20"/>
              </w:rPr>
            </w:pPr>
            <w:r>
              <w:rPr>
                <w:sz w:val="20"/>
              </w:rPr>
              <w:t>6.5</w:t>
            </w:r>
          </w:p>
        </w:tc>
        <w:tc>
          <w:tcPr>
            <w:tcW w:w="23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bl>
    <w:p w:rsidR="00424449" w:rsidRDefault="00424449" w:rsidP="00424449">
      <w:pPr>
        <w:ind w:left="360"/>
        <w:jc w:val="center"/>
        <w:rPr>
          <w:rFonts w:ascii="Calibri" w:eastAsia="Calibri" w:hAnsi="Calibri"/>
          <w:i/>
          <w:sz w:val="20"/>
        </w:rPr>
      </w:pPr>
      <w:r>
        <w:rPr>
          <w:i/>
          <w:sz w:val="20"/>
        </w:rPr>
        <w:t>Źródło: Opracowanie własne</w:t>
      </w:r>
    </w:p>
    <w:p w:rsidR="00424449" w:rsidRDefault="00424449" w:rsidP="00424449">
      <w:pPr>
        <w:pStyle w:val="Nagwek4"/>
      </w:pPr>
      <w:r>
        <w:t>Wskaźniki produktu</w:t>
      </w:r>
    </w:p>
    <w:p w:rsidR="00424449" w:rsidRDefault="00424449" w:rsidP="00424449">
      <w:r>
        <w:t xml:space="preserve">Określone w programie wskaźniki produktu dobrze odpowiadają zakresowi interwencji. W wielu miejscach słusznie zdecydowano się na wskaźniki łączące w sobie ogół planowanych działań (np. nie rozdzielając projektów polegających na budowie i przebudowie czy modernizacji). Na poziomie monitorowania programu takie podejście uznać należy za słuszne. Dokładniejsze informacje powinny być monitorowane na poziomie uszczegółowienia. </w:t>
      </w:r>
    </w:p>
    <w:p w:rsidR="00424449" w:rsidRDefault="00424449" w:rsidP="00B05F42">
      <w:pPr>
        <w:pStyle w:val="Legenda"/>
      </w:pPr>
      <w:r>
        <w:t xml:space="preserve">Tabela </w:t>
      </w:r>
      <w:r w:rsidR="001B04AC">
        <w:fldChar w:fldCharType="begin"/>
      </w:r>
      <w:r w:rsidR="008E1D74">
        <w:instrText xml:space="preserve"> SEQ Tabela \* ARABIC </w:instrText>
      </w:r>
      <w:r w:rsidR="001B04AC">
        <w:fldChar w:fldCharType="separate"/>
      </w:r>
      <w:r w:rsidR="00832320">
        <w:rPr>
          <w:noProof/>
        </w:rPr>
        <w:t>17</w:t>
      </w:r>
      <w:r w:rsidR="001B04AC">
        <w:rPr>
          <w:noProof/>
        </w:rPr>
        <w:fldChar w:fldCharType="end"/>
      </w:r>
      <w:r>
        <w:t>. Oś priorytetowa I</w:t>
      </w:r>
      <w:r w:rsidR="00B05F42">
        <w:t>V</w:t>
      </w:r>
      <w:r>
        <w:t xml:space="preserve"> – ocena wskaźników produktu </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35"/>
        <w:gridCol w:w="3649"/>
        <w:gridCol w:w="2617"/>
        <w:gridCol w:w="2285"/>
      </w:tblGrid>
      <w:tr w:rsidR="00424449" w:rsidTr="00424449">
        <w:trPr>
          <w:tblHeader/>
        </w:trPr>
        <w:tc>
          <w:tcPr>
            <w:tcW w:w="7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Default="00424449" w:rsidP="00424449">
            <w:pPr>
              <w:spacing w:before="60" w:after="60"/>
              <w:jc w:val="center"/>
              <w:rPr>
                <w:rFonts w:ascii="Calibri" w:eastAsia="Calibri" w:hAnsi="Calibri" w:cs="Times New Roman"/>
                <w:b/>
                <w:color w:val="FFFFFF" w:themeColor="background1"/>
                <w:sz w:val="20"/>
                <w:szCs w:val="18"/>
              </w:rPr>
            </w:pP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60" w:after="60"/>
              <w:jc w:val="center"/>
              <w:rPr>
                <w:rFonts w:ascii="Calibri" w:eastAsia="Calibri" w:hAnsi="Calibri" w:cs="Times New Roman"/>
                <w:b/>
                <w:color w:val="FFFFFF" w:themeColor="background1"/>
                <w:sz w:val="20"/>
                <w:szCs w:val="18"/>
              </w:rPr>
            </w:pPr>
            <w:r>
              <w:rPr>
                <w:b/>
                <w:color w:val="FFFFFF" w:themeColor="background1"/>
                <w:sz w:val="20"/>
                <w:szCs w:val="18"/>
              </w:rPr>
              <w:t xml:space="preserve">wskaźnik </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60" w:after="60"/>
              <w:jc w:val="center"/>
              <w:rPr>
                <w:rFonts w:ascii="Calibri" w:eastAsia="Calibri" w:hAnsi="Calibri" w:cs="Times New Roman"/>
                <w:b/>
                <w:color w:val="FFFFFF" w:themeColor="background1"/>
                <w:sz w:val="20"/>
                <w:szCs w:val="18"/>
              </w:rPr>
            </w:pPr>
            <w:r>
              <w:rPr>
                <w:b/>
                <w:color w:val="FFFFFF" w:themeColor="background1"/>
                <w:sz w:val="20"/>
              </w:rPr>
              <w:t>ocena doboru wskaźnika</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60" w:after="60"/>
              <w:jc w:val="center"/>
              <w:rPr>
                <w:b/>
                <w:color w:val="FFFFFF" w:themeColor="background1"/>
                <w:sz w:val="20"/>
              </w:rPr>
            </w:pPr>
            <w:r>
              <w:rPr>
                <w:b/>
                <w:color w:val="FFFFFF" w:themeColor="background1"/>
                <w:sz w:val="20"/>
              </w:rPr>
              <w:t>Ocena wartości docelowej</w:t>
            </w:r>
          </w:p>
        </w:tc>
      </w:tr>
      <w:tr w:rsidR="00424449" w:rsidTr="00424449">
        <w:trPr>
          <w:trHeight w:val="668"/>
        </w:trPr>
        <w:tc>
          <w:tcPr>
            <w:tcW w:w="734"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b/>
                <w:sz w:val="20"/>
                <w:szCs w:val="18"/>
              </w:rPr>
            </w:pPr>
            <w:r>
              <w:rPr>
                <w:b/>
                <w:sz w:val="20"/>
                <w:szCs w:val="18"/>
              </w:rPr>
              <w:t>5.2</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tcPr>
          <w:p w:rsidR="00424449" w:rsidRDefault="00424449" w:rsidP="00424449">
            <w:pPr>
              <w:spacing w:before="60" w:after="60"/>
              <w:jc w:val="left"/>
              <w:rPr>
                <w:rFonts w:ascii="Calibri" w:eastAsia="Calibri" w:hAnsi="Calibri" w:cs="Times New Roman"/>
                <w:i/>
                <w:color w:val="282828"/>
                <w:sz w:val="20"/>
                <w:szCs w:val="18"/>
              </w:rPr>
            </w:pPr>
            <w:r>
              <w:rPr>
                <w:i/>
                <w:color w:val="282828"/>
                <w:sz w:val="20"/>
                <w:szCs w:val="18"/>
              </w:rPr>
              <w:t>Liczba urządzeń dla celów ochrony przeciwpowodziowej (wały przeciwpowodziowe)</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rFonts w:ascii="Calibri" w:eastAsia="Calibri" w:hAnsi="Calibri" w:cs="Times New Roman"/>
                <w:sz w:val="20"/>
                <w:szCs w:val="18"/>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rFonts w:ascii="Calibri" w:eastAsia="Calibri" w:hAnsi="Calibri" w:cs="Times New Roman"/>
                <w:sz w:val="20"/>
                <w:szCs w:val="18"/>
              </w:rPr>
            </w:pPr>
            <w:r>
              <w:rPr>
                <w:sz w:val="20"/>
              </w:rPr>
              <w:t>brak uwag</w:t>
            </w:r>
          </w:p>
        </w:tc>
      </w:tr>
      <w:tr w:rsidR="00424449" w:rsidTr="00424449">
        <w:trPr>
          <w:trHeight w:val="618"/>
        </w:trPr>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jc w:val="left"/>
              <w:rPr>
                <w:rFonts w:ascii="Calibri" w:eastAsia="Calibri" w:hAnsi="Calibri" w:cs="Times New Roman"/>
                <w:b/>
                <w:sz w:val="20"/>
                <w:szCs w:val="18"/>
              </w:rPr>
            </w:pP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color w:val="282828"/>
                <w:sz w:val="20"/>
                <w:szCs w:val="18"/>
              </w:rPr>
            </w:pPr>
            <w:r>
              <w:rPr>
                <w:i/>
                <w:color w:val="282828"/>
                <w:sz w:val="20"/>
                <w:szCs w:val="18"/>
              </w:rPr>
              <w:t>Pojemność obiektów małej retencji</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rFonts w:ascii="Calibri" w:eastAsia="Calibri" w:hAnsi="Calibri" w:cs="Times New Roman"/>
                <w:sz w:val="20"/>
                <w:szCs w:val="18"/>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60" w:after="60"/>
              <w:jc w:val="center"/>
              <w:rPr>
                <w:sz w:val="20"/>
              </w:rPr>
            </w:pPr>
            <w:r>
              <w:rPr>
                <w:sz w:val="20"/>
              </w:rPr>
              <w:t>brak uwag</w:t>
            </w:r>
          </w:p>
        </w:tc>
      </w:tr>
      <w:tr w:rsidR="00424449" w:rsidTr="00424449">
        <w:trPr>
          <w:trHeight w:val="663"/>
        </w:trPr>
        <w:tc>
          <w:tcPr>
            <w:tcW w:w="7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b/>
                <w:sz w:val="20"/>
                <w:szCs w:val="18"/>
              </w:rPr>
            </w:pPr>
            <w:r>
              <w:rPr>
                <w:b/>
                <w:sz w:val="20"/>
                <w:szCs w:val="18"/>
              </w:rPr>
              <w:t>6.1</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color w:val="282828"/>
                <w:sz w:val="20"/>
                <w:szCs w:val="18"/>
              </w:rPr>
            </w:pPr>
            <w:r>
              <w:rPr>
                <w:i/>
                <w:color w:val="282828"/>
                <w:sz w:val="20"/>
                <w:szCs w:val="18"/>
              </w:rPr>
              <w:t>Liczba wspartych zakładów zagospodarowania odpadów</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ascii="Calibri" w:eastAsia="Calibri" w:hAnsi="Calibri" w:cs="Times New Roman"/>
                <w:sz w:val="20"/>
                <w:szCs w:val="18"/>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brak uwag</w:t>
            </w:r>
          </w:p>
        </w:tc>
      </w:tr>
      <w:tr w:rsidR="00424449" w:rsidTr="00424449">
        <w:trPr>
          <w:trHeight w:val="663"/>
        </w:trPr>
        <w:tc>
          <w:tcPr>
            <w:tcW w:w="734"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b/>
                <w:sz w:val="20"/>
                <w:szCs w:val="18"/>
              </w:rPr>
            </w:pPr>
            <w:r>
              <w:rPr>
                <w:b/>
                <w:sz w:val="20"/>
                <w:szCs w:val="18"/>
              </w:rPr>
              <w:t>6.2</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i/>
                <w:color w:val="282828"/>
                <w:sz w:val="20"/>
                <w:szCs w:val="18"/>
              </w:rPr>
            </w:pPr>
            <w:r>
              <w:rPr>
                <w:i/>
                <w:color w:val="282828"/>
                <w:sz w:val="20"/>
                <w:szCs w:val="18"/>
              </w:rPr>
              <w:t>Liczba wspartych oczyszczalni ścieków komunalnych</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brak uwag</w:t>
            </w:r>
          </w:p>
        </w:tc>
      </w:tr>
      <w:tr w:rsidR="00424449" w:rsidTr="00424449">
        <w:trPr>
          <w:trHeight w:val="663"/>
        </w:trPr>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jc w:val="left"/>
              <w:rPr>
                <w:b/>
                <w:sz w:val="20"/>
                <w:szCs w:val="18"/>
              </w:rPr>
            </w:pP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i/>
                <w:color w:val="282828"/>
                <w:sz w:val="20"/>
                <w:szCs w:val="18"/>
              </w:rPr>
            </w:pPr>
            <w:r>
              <w:rPr>
                <w:i/>
                <w:color w:val="282828"/>
                <w:sz w:val="20"/>
                <w:szCs w:val="18"/>
              </w:rPr>
              <w:t>Długość sieci kanalizacji sanitarnej</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brak uwag</w:t>
            </w:r>
          </w:p>
        </w:tc>
      </w:tr>
      <w:tr w:rsidR="00424449" w:rsidTr="00DF3890">
        <w:trPr>
          <w:trHeight w:val="752"/>
        </w:trPr>
        <w:tc>
          <w:tcPr>
            <w:tcW w:w="7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b/>
                <w:sz w:val="20"/>
                <w:szCs w:val="18"/>
              </w:rPr>
            </w:pPr>
            <w:r>
              <w:rPr>
                <w:b/>
                <w:sz w:val="20"/>
                <w:szCs w:val="18"/>
              </w:rPr>
              <w:t>6.3</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color w:val="282828"/>
                <w:sz w:val="20"/>
                <w:szCs w:val="18"/>
              </w:rPr>
            </w:pPr>
            <w:r>
              <w:rPr>
                <w:rFonts w:ascii="Calibri" w:eastAsia="Calibri" w:hAnsi="Calibri" w:cs="Times New Roman"/>
                <w:i/>
                <w:color w:val="282828"/>
                <w:sz w:val="20"/>
                <w:szCs w:val="18"/>
              </w:rPr>
              <w:t>Liczba obiektów zasobów kultury objętych wsparciem</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ascii="Calibri" w:eastAsia="Calibri" w:hAnsi="Calibri" w:cs="Times New Roman"/>
                <w:sz w:val="20"/>
                <w:highlight w:val="yellow"/>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ascii="Calibri" w:eastAsia="Calibri" w:hAnsi="Calibri" w:cs="Times New Roman"/>
                <w:sz w:val="20"/>
                <w:highlight w:val="yellow"/>
              </w:rPr>
            </w:pPr>
            <w:r>
              <w:rPr>
                <w:sz w:val="20"/>
              </w:rPr>
              <w:t>brak uwag</w:t>
            </w:r>
          </w:p>
        </w:tc>
      </w:tr>
      <w:tr w:rsidR="00424449" w:rsidTr="00DF3890">
        <w:trPr>
          <w:trHeight w:val="680"/>
        </w:trPr>
        <w:tc>
          <w:tcPr>
            <w:tcW w:w="7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b/>
                <w:sz w:val="20"/>
                <w:szCs w:val="18"/>
              </w:rPr>
            </w:pPr>
            <w:r>
              <w:rPr>
                <w:b/>
                <w:sz w:val="20"/>
                <w:szCs w:val="18"/>
              </w:rPr>
              <w:t>6.4</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color w:val="282828"/>
                <w:sz w:val="20"/>
                <w:szCs w:val="18"/>
              </w:rPr>
            </w:pPr>
            <w:r>
              <w:rPr>
                <w:rFonts w:ascii="Calibri" w:eastAsia="Calibri" w:hAnsi="Calibri" w:cs="Times New Roman"/>
                <w:i/>
                <w:color w:val="282828"/>
                <w:sz w:val="20"/>
                <w:szCs w:val="18"/>
              </w:rPr>
              <w:t>Liczba wspartych form ochrony przyrody</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rPr>
            </w:pPr>
            <w:r>
              <w:rPr>
                <w:sz w:val="20"/>
              </w:rPr>
              <w:t>brak uwag</w:t>
            </w:r>
          </w:p>
        </w:tc>
      </w:tr>
      <w:tr w:rsidR="00424449" w:rsidTr="00DF3890">
        <w:trPr>
          <w:trHeight w:val="832"/>
        </w:trPr>
        <w:tc>
          <w:tcPr>
            <w:tcW w:w="7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b/>
                <w:sz w:val="20"/>
                <w:szCs w:val="18"/>
              </w:rPr>
            </w:pPr>
            <w:r>
              <w:rPr>
                <w:b/>
                <w:sz w:val="20"/>
                <w:szCs w:val="18"/>
              </w:rPr>
              <w:t>6.5</w:t>
            </w:r>
          </w:p>
        </w:tc>
        <w:tc>
          <w:tcPr>
            <w:tcW w:w="365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rFonts w:ascii="Calibri" w:eastAsia="Calibri" w:hAnsi="Calibri" w:cs="Times New Roman"/>
                <w:i/>
                <w:color w:val="282828"/>
                <w:sz w:val="20"/>
                <w:szCs w:val="18"/>
              </w:rPr>
            </w:pPr>
            <w:r>
              <w:rPr>
                <w:i/>
                <w:color w:val="282828"/>
                <w:sz w:val="20"/>
                <w:szCs w:val="18"/>
              </w:rPr>
              <w:t>Łączna powierzchnia zrekultywowanych gruntów</w:t>
            </w:r>
          </w:p>
        </w:tc>
        <w:tc>
          <w:tcPr>
            <w:tcW w:w="261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rFonts w:ascii="Calibri" w:eastAsia="Calibri" w:hAnsi="Calibri" w:cs="Times New Roman"/>
                <w:sz w:val="20"/>
              </w:rPr>
            </w:pPr>
            <w:r>
              <w:rPr>
                <w:sz w:val="20"/>
              </w:rPr>
              <w:t>wskaźnik dobrany prawidłowo</w:t>
            </w:r>
          </w:p>
        </w:tc>
        <w:tc>
          <w:tcPr>
            <w:tcW w:w="22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jc w:val="center"/>
              <w:rPr>
                <w:sz w:val="20"/>
                <w:szCs w:val="18"/>
              </w:rPr>
            </w:pPr>
            <w:r>
              <w:rPr>
                <w:sz w:val="20"/>
              </w:rPr>
              <w:t>brak uwag</w:t>
            </w:r>
          </w:p>
        </w:tc>
      </w:tr>
    </w:tbl>
    <w:p w:rsidR="00424449" w:rsidRDefault="00424449" w:rsidP="00424449">
      <w:pPr>
        <w:ind w:left="360"/>
        <w:jc w:val="center"/>
        <w:rPr>
          <w:rFonts w:ascii="Calibri" w:eastAsia="Calibri" w:hAnsi="Calibri"/>
          <w:i/>
          <w:sz w:val="20"/>
        </w:rPr>
      </w:pPr>
      <w:r>
        <w:rPr>
          <w:i/>
          <w:sz w:val="20"/>
        </w:rPr>
        <w:t>Źródło: Opracowanie własne</w:t>
      </w:r>
    </w:p>
    <w:p w:rsidR="00424449" w:rsidRDefault="00424449" w:rsidP="00424449">
      <w:pPr>
        <w:pStyle w:val="Nagwek4"/>
      </w:pPr>
      <w:r>
        <w:t>Wskaźniki wybrane do ram wykonania</w:t>
      </w:r>
    </w:p>
    <w:p w:rsidR="00424449" w:rsidRDefault="00424449" w:rsidP="00424449">
      <w:r>
        <w:t>Wybór wskaźników do ram wykonania ocenić należy pozytywnie.</w:t>
      </w:r>
    </w:p>
    <w:p w:rsidR="00424449" w:rsidRDefault="00424449" w:rsidP="00B05F42">
      <w:pPr>
        <w:pStyle w:val="Legenda"/>
      </w:pPr>
      <w:r>
        <w:t xml:space="preserve">Tabela </w:t>
      </w:r>
      <w:r w:rsidR="001B04AC">
        <w:fldChar w:fldCharType="begin"/>
      </w:r>
      <w:r w:rsidR="008E1D74">
        <w:instrText xml:space="preserve"> SEQ Tabela \* ARABIC </w:instrText>
      </w:r>
      <w:r w:rsidR="001B04AC">
        <w:fldChar w:fldCharType="separate"/>
      </w:r>
      <w:r w:rsidR="00832320">
        <w:rPr>
          <w:noProof/>
        </w:rPr>
        <w:t>18</w:t>
      </w:r>
      <w:r w:rsidR="001B04AC">
        <w:rPr>
          <w:noProof/>
        </w:rPr>
        <w:fldChar w:fldCharType="end"/>
      </w:r>
      <w:r>
        <w:t>. Oś priorytetowa IV – ocena wskaźników wybranych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056"/>
        <w:gridCol w:w="2772"/>
        <w:gridCol w:w="2458"/>
      </w:tblGrid>
      <w:tr w:rsidR="00424449" w:rsidTr="00424449">
        <w:trPr>
          <w:tblHeader/>
        </w:trPr>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b/>
                <w:color w:val="FFFFFF" w:themeColor="background1"/>
                <w:sz w:val="20"/>
              </w:rPr>
            </w:pPr>
            <w:r>
              <w:rPr>
                <w:b/>
                <w:color w:val="FFFFFF" w:themeColor="background1"/>
                <w:sz w:val="20"/>
              </w:rPr>
              <w:t>wskaźnik rezultatu</w:t>
            </w:r>
          </w:p>
        </w:tc>
        <w:tc>
          <w:tcPr>
            <w:tcW w:w="2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424449">
            <w:pPr>
              <w:spacing w:before="120" w:after="120"/>
              <w:jc w:val="center"/>
              <w:rPr>
                <w:b/>
                <w:color w:val="FFFFFF" w:themeColor="background1"/>
                <w:sz w:val="20"/>
              </w:rPr>
            </w:pPr>
            <w:r>
              <w:rPr>
                <w:b/>
                <w:color w:val="FFFFFF" w:themeColor="background1"/>
                <w:sz w:val="20"/>
              </w:rPr>
              <w:t>ocena doboru wskaźnika</w:t>
            </w:r>
          </w:p>
        </w:tc>
        <w:tc>
          <w:tcPr>
            <w:tcW w:w="245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hideMark/>
          </w:tcPr>
          <w:p w:rsidR="00424449" w:rsidRDefault="00424449" w:rsidP="00424449">
            <w:pPr>
              <w:spacing w:before="120" w:after="120"/>
              <w:jc w:val="center"/>
              <w:rPr>
                <w:b/>
                <w:color w:val="FFFFFF" w:themeColor="background1"/>
                <w:sz w:val="20"/>
              </w:rPr>
            </w:pPr>
            <w:r>
              <w:rPr>
                <w:b/>
                <w:color w:val="FFFFFF" w:themeColor="background1"/>
                <w:sz w:val="20"/>
              </w:rPr>
              <w:t xml:space="preserve">ocena wartości docelowej </w:t>
            </w:r>
          </w:p>
        </w:tc>
      </w:tr>
      <w:tr w:rsidR="00424449" w:rsidTr="00424449">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i/>
                <w:color w:val="282828"/>
                <w:sz w:val="20"/>
              </w:rPr>
            </w:pPr>
            <w:r>
              <w:rPr>
                <w:i/>
                <w:color w:val="282828"/>
                <w:sz w:val="20"/>
              </w:rPr>
              <w:t>Długość sieci kanalizacji sanitarnej</w:t>
            </w:r>
          </w:p>
        </w:tc>
        <w:tc>
          <w:tcPr>
            <w:tcW w:w="2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wskaźnik dobrany prawidłowo</w:t>
            </w:r>
          </w:p>
        </w:tc>
        <w:tc>
          <w:tcPr>
            <w:tcW w:w="245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i/>
                <w:color w:val="282828"/>
                <w:sz w:val="20"/>
              </w:rPr>
            </w:pPr>
            <w:r>
              <w:rPr>
                <w:i/>
                <w:color w:val="282828"/>
                <w:sz w:val="20"/>
              </w:rPr>
              <w:t>Liczba wspartych oczyszczalni ścieków komunalnych</w:t>
            </w:r>
          </w:p>
        </w:tc>
        <w:tc>
          <w:tcPr>
            <w:tcW w:w="2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wskaźnik dobrany prawidłowo</w:t>
            </w:r>
          </w:p>
        </w:tc>
        <w:tc>
          <w:tcPr>
            <w:tcW w:w="245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424449">
            <w:pPr>
              <w:spacing w:before="60" w:after="60"/>
              <w:jc w:val="left"/>
              <w:rPr>
                <w:i/>
                <w:color w:val="282828"/>
                <w:sz w:val="20"/>
              </w:rPr>
            </w:pPr>
            <w:r>
              <w:rPr>
                <w:i/>
                <w:color w:val="282828"/>
                <w:sz w:val="20"/>
              </w:rPr>
              <w:t>Liczba obiektów zasobów kultury objętych wsparciem</w:t>
            </w:r>
          </w:p>
        </w:tc>
        <w:tc>
          <w:tcPr>
            <w:tcW w:w="2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wskaźnik dobrany prawidłowo</w:t>
            </w:r>
          </w:p>
        </w:tc>
        <w:tc>
          <w:tcPr>
            <w:tcW w:w="245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r w:rsidR="00424449" w:rsidTr="00424449">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Default="00424449" w:rsidP="00A34C34">
            <w:pPr>
              <w:spacing w:before="60" w:after="60"/>
              <w:jc w:val="left"/>
              <w:rPr>
                <w:i/>
                <w:color w:val="282828"/>
                <w:sz w:val="20"/>
              </w:rPr>
            </w:pPr>
            <w:r>
              <w:rPr>
                <w:i/>
                <w:color w:val="282828"/>
                <w:sz w:val="20"/>
              </w:rPr>
              <w:t xml:space="preserve">Całkowita kwota wydatków kwalifikowanych </w:t>
            </w:r>
          </w:p>
        </w:tc>
        <w:tc>
          <w:tcPr>
            <w:tcW w:w="2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424449">
            <w:pPr>
              <w:spacing w:before="120" w:after="120"/>
              <w:jc w:val="center"/>
              <w:rPr>
                <w:sz w:val="20"/>
              </w:rPr>
            </w:pPr>
            <w:r>
              <w:rPr>
                <w:sz w:val="20"/>
              </w:rPr>
              <w:t xml:space="preserve">wskaźnik dobrany prawidłowo </w:t>
            </w:r>
          </w:p>
        </w:tc>
        <w:tc>
          <w:tcPr>
            <w:tcW w:w="245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rsidR="00424449" w:rsidRDefault="00424449" w:rsidP="00424449">
            <w:pPr>
              <w:spacing w:before="120" w:after="120"/>
              <w:jc w:val="center"/>
              <w:rPr>
                <w:sz w:val="20"/>
              </w:rPr>
            </w:pPr>
            <w:r>
              <w:rPr>
                <w:sz w:val="20"/>
              </w:rPr>
              <w:t>brak uwag</w:t>
            </w:r>
          </w:p>
        </w:tc>
      </w:tr>
    </w:tbl>
    <w:p w:rsidR="00424449" w:rsidRDefault="00424449" w:rsidP="00424449">
      <w:pPr>
        <w:ind w:left="360"/>
        <w:jc w:val="center"/>
        <w:rPr>
          <w:i/>
          <w:sz w:val="20"/>
        </w:rPr>
      </w:pPr>
      <w:r>
        <w:rPr>
          <w:i/>
          <w:sz w:val="20"/>
        </w:rPr>
        <w:t>Źródło: Opracowanie własne</w:t>
      </w:r>
    </w:p>
    <w:p w:rsidR="00424449" w:rsidRDefault="00424449" w:rsidP="00424449">
      <w:pPr>
        <w:rPr>
          <w:i/>
          <w:sz w:val="20"/>
        </w:rPr>
      </w:pPr>
    </w:p>
    <w:p w:rsidR="00424449" w:rsidRDefault="00424449" w:rsidP="00424449">
      <w:pPr>
        <w:pStyle w:val="Nagwek3"/>
      </w:pPr>
      <w:r>
        <w:t>Wkład w realizację celów dokumentów strategicznych i celów polityk horyzontalnych</w:t>
      </w:r>
    </w:p>
    <w:p w:rsidR="00424449" w:rsidRDefault="00424449" w:rsidP="00424449">
      <w:pPr>
        <w:pStyle w:val="Nagwek4"/>
      </w:pPr>
      <w:r>
        <w:t>Cele strategiczne na poziomie europejskim i polityki horyzontalne</w:t>
      </w:r>
    </w:p>
    <w:p w:rsidR="00424449" w:rsidRDefault="00424449" w:rsidP="00424449">
      <w:r>
        <w:t xml:space="preserve">Założenia i cele leżące u podstaw interwencji w ramach osi IV są spójne z wyzwaniami określonymi w kluczowym europejskim dokumencie strategicznym, tj. strategii </w:t>
      </w:r>
      <w:r>
        <w:rPr>
          <w:i/>
        </w:rPr>
        <w:t>Europa 2020</w:t>
      </w:r>
      <w:r>
        <w:t xml:space="preserve"> oraz inicjatywie przewodniej </w:t>
      </w:r>
      <w:r>
        <w:rPr>
          <w:i/>
        </w:rPr>
        <w:t xml:space="preserve">Europa efektywnie korzystająca z zasobów. </w:t>
      </w:r>
      <w:r>
        <w:t xml:space="preserve">Wśród wymienionych w nich celów średniookresowych wskazuje się m.in. stworzenie </w:t>
      </w:r>
      <w:r>
        <w:rPr>
          <w:i/>
        </w:rPr>
        <w:t xml:space="preserve">gospodarki obiegowej, </w:t>
      </w:r>
      <w:r>
        <w:t xml:space="preserve">opartej na recyklingu i wykorzystywaniu odpadów jako surowca, konieczność racjonalizacji gospodarki wodnej oraz potrzebę podjęcia działań minimalizujących zagrożenia wynikające ze zmian klimatu. Kwestie ochrony różnorodności biologicznej zostały uwzględnione  w </w:t>
      </w:r>
      <w:r>
        <w:rPr>
          <w:i/>
        </w:rPr>
        <w:t>Strategii ochrony różnorodności biologicznej na okres do 2020 r</w:t>
      </w:r>
      <w:r>
        <w:t>,</w:t>
      </w:r>
      <w:r>
        <w:rPr>
          <w:rStyle w:val="Odwoanieprzypisudolnego"/>
        </w:rPr>
        <w:footnoteReference w:id="49"/>
      </w:r>
      <w:r>
        <w:t xml:space="preserve"> będącej integralną częścią Europy 2020 i wspomnianej powyżej inicjatywy </w:t>
      </w:r>
      <w:r>
        <w:lastRenderedPageBreak/>
        <w:t xml:space="preserve">przewodniej. W dokumencie tym wskazuje się m.in. na potrzebę ochrony i przywrócenia dobrego stanu przyrody. </w:t>
      </w:r>
    </w:p>
    <w:p w:rsidR="00424449" w:rsidRDefault="00424449" w:rsidP="00424449">
      <w:r>
        <w:t>Działania planowane do realizacji w osi IV w bezpośredni sposób przyczynią się również do realizacji założeń zrównoważonego rozwoju, będącego jedną z polityk horyzontalnych UE. Szczególnie istotne w tym zakresie będzie wsparcie w ramach priorytetów 6.1, 6.2 i 6.4, koncentrujące się na racjonalizacji gospodarki odpadowej (a więc i efektywnego korzystania z surowców), wodnej oraz ochrony bioróżnorodności.</w:t>
      </w:r>
    </w:p>
    <w:p w:rsidR="00424449" w:rsidRDefault="00424449" w:rsidP="00424449">
      <w:pPr>
        <w:pStyle w:val="Nagwek4"/>
      </w:pPr>
      <w:r>
        <w:t>Cele strategiczne na poziomie krajowym</w:t>
      </w:r>
    </w:p>
    <w:p w:rsidR="00424449" w:rsidRDefault="00424449" w:rsidP="00424449">
      <w:r>
        <w:t xml:space="preserve">Interwencja w ramach osi IV przyczyni się do realizacji celów wyznaczonych przez strategie krajowe, w tym KSRR i SRK oraz strategię sektorową </w:t>
      </w:r>
      <w:r>
        <w:rPr>
          <w:i/>
        </w:rPr>
        <w:t>Bezpieczeństwo Energetyczne i Środowisko</w:t>
      </w:r>
      <w:r>
        <w:t xml:space="preserve">. Analogicznie jak w przypadku polityk europejskich, również w dokumentach polskich nacisk położony jest na racjonalizację gospodarki wodnej i odpadowej oraz zwiększenie odporności na zmiany klimatu. Wsparcie w ramach priorytetu 5.2 pozwoli na realizację kierunku II.6.5 </w:t>
      </w:r>
      <w:r>
        <w:rPr>
          <w:i/>
        </w:rPr>
        <w:t xml:space="preserve">Adaptacja do zmian klimatu </w:t>
      </w:r>
      <w:r>
        <w:t xml:space="preserve">określonego w SRK oraz kierunku 1.3.5 </w:t>
      </w:r>
      <w:r>
        <w:rPr>
          <w:i/>
        </w:rPr>
        <w:t xml:space="preserve">dywersyfikacja źródeł i efektywne wykorzystanie energii oraz reagowanie na zagrożenia naturalne </w:t>
      </w:r>
      <w:r>
        <w:t xml:space="preserve">wskazanego w KSRR. Z kolei interwencja w priorytetach 6.1, 6.2 i 6.4 będzie miała bezpośredni wpływ na osiągniecie założeń kierunku 6.1 </w:t>
      </w:r>
      <w:r>
        <w:rPr>
          <w:i/>
        </w:rPr>
        <w:t>racjonalne gospodarowanie zasobami</w:t>
      </w:r>
      <w:r>
        <w:t xml:space="preserve"> i 6.4 </w:t>
      </w:r>
      <w:r>
        <w:rPr>
          <w:i/>
        </w:rPr>
        <w:t>poprawa stanu środowiska</w:t>
      </w:r>
      <w:r>
        <w:t xml:space="preserve"> SRK. W przypadku KSRR rozwój gospodarki wodnej i</w:t>
      </w:r>
      <w:r w:rsidR="002F7C58">
        <w:t> </w:t>
      </w:r>
      <w:r>
        <w:t xml:space="preserve"> odpadowej, obok wsparcia terenów zdegradowanych i rozwoju kultury, rozpatrywany jest jako jeden z warunków budowania spójności terytorialnej i przeciwdziałania marginalizacji obszarów problemowych (cel 2 KSRR). Rozwój infrastruktury kultury wskazany jest również jako jedno z zadań SRK, mające znaczenie dla rozwoju kapitału społecznego. W tym kontekście istotne są zarówno inwestycje w instytucje kultury jak i zachowanie zasobów dziedzictwa kulturowego.</w:t>
      </w:r>
    </w:p>
    <w:p w:rsidR="00424449" w:rsidRDefault="00424449" w:rsidP="00424449">
      <w:r>
        <w:t xml:space="preserve">Oś IV poprzez wsparcia w ramach priorytetów 5.2, 6.1, 6.2 i 6.4 przyczyni się również do realizacji celów 1 </w:t>
      </w:r>
      <w:r>
        <w:rPr>
          <w:i/>
        </w:rPr>
        <w:t>Zrównoważone gospodarowanie zasobami</w:t>
      </w:r>
      <w:r>
        <w:t xml:space="preserve"> i 3 </w:t>
      </w:r>
      <w:r>
        <w:rPr>
          <w:i/>
        </w:rPr>
        <w:t xml:space="preserve">Poprawa stanu środowiska </w:t>
      </w:r>
      <w:r>
        <w:t xml:space="preserve">BEiŚ. </w:t>
      </w:r>
    </w:p>
    <w:p w:rsidR="00424449" w:rsidRDefault="00424449" w:rsidP="00424449">
      <w:pPr>
        <w:pStyle w:val="Nagwek4"/>
      </w:pPr>
      <w:r>
        <w:t>Cele strategiczne województwa podkarpackiego</w:t>
      </w:r>
    </w:p>
    <w:p w:rsidR="00424449" w:rsidRDefault="00424449" w:rsidP="00424449">
      <w:r>
        <w:t xml:space="preserve">RPO WP 2014-2020 będzie kluczowym narzędziem dla realizacji celów określonych w </w:t>
      </w:r>
      <w:r>
        <w:rPr>
          <w:i/>
        </w:rPr>
        <w:t>Strategii Rozwoju Województwa Podkarpackiego.</w:t>
      </w:r>
      <w:r>
        <w:rPr>
          <w:rStyle w:val="Odwoanieprzypisudolnego"/>
          <w:i/>
        </w:rPr>
        <w:footnoteReference w:id="50"/>
      </w:r>
      <w:r>
        <w:t xml:space="preserve">Interwencja w ramach osi IV jest spójna z obszarem 2 </w:t>
      </w:r>
      <w:r>
        <w:rPr>
          <w:i/>
        </w:rPr>
        <w:t xml:space="preserve">kapitał ludzki i społeczny, </w:t>
      </w:r>
      <w:r>
        <w:t xml:space="preserve">w zakresie priorytetu 2.2 </w:t>
      </w:r>
      <w:r>
        <w:rPr>
          <w:i/>
        </w:rPr>
        <w:t xml:space="preserve">kultura i dziedzictwo kulturowe, </w:t>
      </w:r>
      <w:r>
        <w:t xml:space="preserve">któremu za cel postawiono </w:t>
      </w:r>
      <w:r>
        <w:rPr>
          <w:i/>
        </w:rPr>
        <w:t xml:space="preserve">rozwinięty i efektywnie wykorzystany potencjał kulturowy regionu. </w:t>
      </w:r>
      <w:r>
        <w:t xml:space="preserve">W obszarze ochrony środowiska RPO przyczyni się do osiągnięcia założeń określonych w obszarze </w:t>
      </w:r>
      <w:r>
        <w:rPr>
          <w:i/>
        </w:rPr>
        <w:t>środowisko i</w:t>
      </w:r>
      <w:r w:rsidR="002F7C58">
        <w:rPr>
          <w:i/>
        </w:rPr>
        <w:t> </w:t>
      </w:r>
      <w:r>
        <w:rPr>
          <w:i/>
        </w:rPr>
        <w:t xml:space="preserve"> energetyka, </w:t>
      </w:r>
      <w:r>
        <w:t xml:space="preserve">w szczególności w odniesieniu do priorytetów 4.1 </w:t>
      </w:r>
      <w:r>
        <w:rPr>
          <w:i/>
        </w:rPr>
        <w:t xml:space="preserve">Zapobieganie i przeciwdziałanie zagrożeniom oraz usuwanie ich negatywnych skutków, </w:t>
      </w:r>
      <w:r>
        <w:t xml:space="preserve">którego realizacji – siłą rzeczy ograniczonej ze względu na dostępne środki – służyć będzie wsparcie w priorytecie inwestycyjnym 5.2. Interwencja w obszarze gospodarki odpadami przyczyni się do osiągnięcia założeń określonych w kierunku działań 4.2.2 </w:t>
      </w:r>
      <w:r>
        <w:rPr>
          <w:i/>
        </w:rPr>
        <w:t xml:space="preserve">zapewnienie właściwej gospodarki odpadami, </w:t>
      </w:r>
      <w:r>
        <w:t>natomiast rozwój gospodarki wodno-ściekowej jest realizacją kierunku 4.2.3. Ochrona bioróżnorodności jest odpowiedzią na wyzwania zdefiniowane w kierunku 4.2.4. (</w:t>
      </w:r>
      <w:r>
        <w:rPr>
          <w:i/>
        </w:rPr>
        <w:t>Zachowanie i ochrona różnorodności biologicznej</w:t>
      </w:r>
      <w:r>
        <w:t>), z kolei działania planowane do realizacji w priorytecie inwestycyjnym 6.5 to realizacja założeń kierunku 4.2.1. (</w:t>
      </w:r>
      <w:r>
        <w:rPr>
          <w:i/>
        </w:rPr>
        <w:t xml:space="preserve">Zapewnienie dobrego </w:t>
      </w:r>
      <w:r>
        <w:rPr>
          <w:i/>
        </w:rPr>
        <w:lastRenderedPageBreak/>
        <w:t>stanu środowiska w zakresie czystości powietrza i hałasu</w:t>
      </w:r>
      <w:r>
        <w:t>) oraz 3.5.4. (</w:t>
      </w:r>
      <w:r>
        <w:rPr>
          <w:i/>
        </w:rPr>
        <w:t>Rewitalizacja oraz poprawa ładu przestrzeni sprzyjające rozwojowi ośrodków miejskich</w:t>
      </w:r>
      <w:r>
        <w:t xml:space="preserve">). </w:t>
      </w:r>
    </w:p>
    <w:p w:rsidR="00424449" w:rsidRDefault="00230E9D" w:rsidP="00424449">
      <w:pPr>
        <w:pStyle w:val="Nagwek2"/>
      </w:pPr>
      <w:r>
        <w:br w:type="page"/>
      </w:r>
      <w:bookmarkStart w:id="18" w:name="_Toc384914406"/>
      <w:r w:rsidR="00424449">
        <w:lastRenderedPageBreak/>
        <w:t xml:space="preserve">Oś priorytetowa V. </w:t>
      </w:r>
      <w:r w:rsidR="00424449" w:rsidRPr="00C039B1">
        <w:rPr>
          <w:i/>
        </w:rPr>
        <w:t>Infrastruktura komunikacyjna</w:t>
      </w:r>
      <w:bookmarkEnd w:id="18"/>
    </w:p>
    <w:p w:rsidR="00424449" w:rsidRDefault="00424449" w:rsidP="00424449">
      <w:pPr>
        <w:pStyle w:val="Nagwek3"/>
      </w:pPr>
      <w:r w:rsidRPr="00DA5071">
        <w:t>Ocena przesłanek interwencji</w:t>
      </w:r>
    </w:p>
    <w:p w:rsidR="00424449" w:rsidRDefault="00424449" w:rsidP="00424449">
      <w:r>
        <w:t xml:space="preserve">Łączną zawartość sekcji </w:t>
      </w:r>
      <w:r w:rsidR="00DE299B">
        <w:t>1.1</w:t>
      </w:r>
      <w:r>
        <w:t xml:space="preserve"> oraz wprowadzeń do charakterystyki poszczególnych priorytetów inwestycyjnych należy ocenić jako wystarczające uzasadnienie interwencji w ramach osi priorytetowej V. </w:t>
      </w:r>
      <w:r w:rsidRPr="000B5487">
        <w:rPr>
          <w:i/>
        </w:rPr>
        <w:t>Infrastruktura komunikacyjna</w:t>
      </w:r>
      <w:r>
        <w:t xml:space="preserve">. Jako główne wyzwania wyróżniono 1) </w:t>
      </w:r>
      <w:r>
        <w:rPr>
          <w:i/>
        </w:rPr>
        <w:t>poprawę dostępności do autostrady i dróg ekspresowych</w:t>
      </w:r>
      <w:r>
        <w:t xml:space="preserve"> oraz 2) </w:t>
      </w:r>
      <w:r>
        <w:rPr>
          <w:i/>
        </w:rPr>
        <w:t>zwiększenie dostępności do ośrodków życia społeczno-gospodarczego</w:t>
      </w:r>
      <w:r>
        <w:t xml:space="preserve">, co należy uznać za odpowiedni wybór strategiczny, wynikający z przeprowadzonej oceny sytuacji województwa podkarpackiego oraz dobrze powiązany z zapisami SRWP. </w:t>
      </w:r>
    </w:p>
    <w:p w:rsidR="00424449" w:rsidRDefault="00424449" w:rsidP="00424449">
      <w:r>
        <w:t xml:space="preserve">Interwencja w ramach priorytetu 7.2 obejmować będzie infrastrukturę drogową regionalną i lokalną. W sekcji </w:t>
      </w:r>
      <w:r w:rsidR="00DE299B">
        <w:t>1.1</w:t>
      </w:r>
      <w:r>
        <w:t xml:space="preserve"> w syntetyczny sposób przedstawiono obecną sytuację infrastruktury drogowej województwa, słusznie wskazując na bardzo słabą dostępność transportową w ruchu drogowym niektórych części województwa oraz niezadowalający stan techniczny dróg, prowadzący m.in. do wyższej niż przeciętnie w kraju liczby ofiar śmiertelnych wypadków na 100 tys. mieszkańców. Z punktu widzenia wspomnianej w programie autostrady A4 warto dodatkowo pamiętać, że w pewnym stopniu jest to szansa dla województwa (np. aktywizacja terenów wzdłuż autostrady), ale częściowo również - zagrożenia (np. ryzyko wystąpienia efektu "tunelu", rosnące obciążanie ciągów komunikacyjnych odpowiedzialnych za rozprowadzania ruchu z autostrady itp.). </w:t>
      </w:r>
    </w:p>
    <w:p w:rsidR="00424449" w:rsidRDefault="00424449" w:rsidP="00424449">
      <w:r>
        <w:t xml:space="preserve">Uzasadnienie interwencji dotyczącej transportu drogowego zostało dodatkowo uszczegółowione w opisie priorytetu inwestycyjnego. Wskazuje się tam m.in. konieczność eliminowania "wąskich gardeł" w systemie transportowym regionu, słusznie zwrócono także uwagę na priorytetową potrzebę dokończenia inwestycji w ciągach dróg wojewódzkich, które poddano modernizacji w okresie programowania 2007-2013. </w:t>
      </w:r>
    </w:p>
    <w:p w:rsidR="00A63F04" w:rsidRDefault="00B30867" w:rsidP="00424449">
      <w:r>
        <w:t xml:space="preserve">W diagnozie programu zaprezentowano przekonujące uzasadnienie dla uwzględnienie w programie wsparcia dla transportu intermodalnego (PI 7.3). Analizę skoncentrowano na niewykorzystanym potencjale przebiegającej przez region linii kolejowej 65 (Linii Hutniczej Szerokotorowej), w szczególności stacji w Woli Baranowskiej, wymagającej poprawy powiązań drogowych i kolejowych. Skoncentrowanie interwencji poprawie dostępności tej stacji powinno dać impuls do lepszego wykorzystania przygranicznego położenia regionu oraz do zwiększenia intensywności wymiany handlowej. </w:t>
      </w:r>
    </w:p>
    <w:p w:rsidR="00424449" w:rsidRPr="002850E3" w:rsidRDefault="00424449" w:rsidP="00424449">
      <w:r>
        <w:t xml:space="preserve">Uzasadnienie dla działań związanych z transportem kolejowym przedstawiono w sekcji </w:t>
      </w:r>
      <w:r w:rsidR="00DE299B">
        <w:t>1.1</w:t>
      </w:r>
      <w:r>
        <w:t xml:space="preserve"> oraz w opisie priorytetu inwestycyjnego 7.4. Słusznie zwrócono uwagę na zdecydowanie zbyt długie czasy przejazdu pomiędzy ośrodkami miejskimi województwa podkarpackiego oraz na niski poziom efektywności sieci kolejowej. Wskazuje się także na zbyt niską atrakcyjność transportu kolejowego, co wynika nie tylko ze stanu samej infrastruktury, ale także m.in. niewielkiej liczby jednostek nowoczesnego taboru.</w:t>
      </w:r>
    </w:p>
    <w:p w:rsidR="00424449" w:rsidRDefault="00424449" w:rsidP="00424449">
      <w:r>
        <w:t>W diagnozie słusznie zwrócono uwagą za kluczowe zagadnienia omawiane w toku ewaluacji:</w:t>
      </w:r>
    </w:p>
    <w:p w:rsidR="00424449" w:rsidRDefault="00424449" w:rsidP="00424449">
      <w:pPr>
        <w:pStyle w:val="Akapitzlist"/>
        <w:numPr>
          <w:ilvl w:val="0"/>
          <w:numId w:val="11"/>
        </w:numPr>
      </w:pPr>
      <w:r>
        <w:lastRenderedPageBreak/>
        <w:t xml:space="preserve">Województwo podkarpackie wyróżnia się na tle Polski systematycznie spadającą liczbą przewozów pasażerskich komunikacją miejską. Tendencja ta utrzymuje się od lat – w okresie 2006-2012 poziom wskaźnika zmalał o ponad 1/3, podczas gdy w Polsce utrzymywał się na niezmienionym poziomie.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424449" w:rsidTr="00424449">
        <w:tc>
          <w:tcPr>
            <w:tcW w:w="9212" w:type="dxa"/>
          </w:tcPr>
          <w:p w:rsidR="00424449" w:rsidRPr="00E25FAF" w:rsidRDefault="00424449" w:rsidP="00424449">
            <w:pPr>
              <w:pStyle w:val="Legenda"/>
            </w:pPr>
            <w:r w:rsidRPr="00E25FAF">
              <w:t xml:space="preserve">Wykres </w:t>
            </w:r>
            <w:r w:rsidR="001B04AC">
              <w:fldChar w:fldCharType="begin"/>
            </w:r>
            <w:r w:rsidR="008E1D74">
              <w:instrText xml:space="preserve"> SEQ Wykres \* ARABIC </w:instrText>
            </w:r>
            <w:r w:rsidR="001B04AC">
              <w:fldChar w:fldCharType="separate"/>
            </w:r>
            <w:r w:rsidR="00832320">
              <w:rPr>
                <w:noProof/>
              </w:rPr>
              <w:t>18</w:t>
            </w:r>
            <w:r w:rsidR="001B04AC">
              <w:rPr>
                <w:noProof/>
              </w:rPr>
              <w:fldChar w:fldCharType="end"/>
            </w:r>
            <w:r w:rsidRPr="00E25FAF">
              <w:t>. Przewo</w:t>
            </w:r>
            <w:r>
              <w:t>zy pasażerów komunikacją miejską</w:t>
            </w:r>
            <w:r w:rsidRPr="00E25FAF">
              <w:t xml:space="preserve"> (poziom w 2006 r. = 100)</w:t>
            </w:r>
          </w:p>
        </w:tc>
      </w:tr>
      <w:tr w:rsidR="00424449" w:rsidTr="00424449">
        <w:tc>
          <w:tcPr>
            <w:tcW w:w="9212" w:type="dxa"/>
          </w:tcPr>
          <w:p w:rsidR="00424449" w:rsidRPr="00D84C86" w:rsidRDefault="00424449" w:rsidP="00424449">
            <w:pPr>
              <w:spacing w:before="120" w:after="120"/>
              <w:jc w:val="center"/>
              <w:rPr>
                <w:highlight w:val="yellow"/>
              </w:rPr>
            </w:pPr>
            <w:r>
              <w:rPr>
                <w:noProof/>
                <w:lang w:eastAsia="pl-PL"/>
              </w:rPr>
              <w:drawing>
                <wp:inline distT="0" distB="0" distL="0" distR="0">
                  <wp:extent cx="3006000" cy="1800000"/>
                  <wp:effectExtent l="0" t="0" r="4445" b="0"/>
                  <wp:docPr id="224" name="Obraz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06000" cy="1800000"/>
                          </a:xfrm>
                          <a:prstGeom prst="rect">
                            <a:avLst/>
                          </a:prstGeom>
                          <a:noFill/>
                        </pic:spPr>
                      </pic:pic>
                    </a:graphicData>
                  </a:graphic>
                </wp:inline>
              </w:drawing>
            </w:r>
          </w:p>
        </w:tc>
      </w:tr>
      <w:tr w:rsidR="00424449" w:rsidTr="00424449">
        <w:tc>
          <w:tcPr>
            <w:tcW w:w="9212" w:type="dxa"/>
          </w:tcPr>
          <w:p w:rsidR="00424449" w:rsidRDefault="00424449" w:rsidP="00424449">
            <w:pPr>
              <w:pStyle w:val="rdo"/>
            </w:pPr>
            <w:r>
              <w:t xml:space="preserve">Źródło: Opracowanie własne na podstawie danych GUS oraz własnych szacunków.   </w:t>
            </w:r>
          </w:p>
        </w:tc>
      </w:tr>
    </w:tbl>
    <w:p w:rsidR="00424449" w:rsidRDefault="00424449" w:rsidP="000965A8">
      <w:pPr>
        <w:pStyle w:val="Akapitzlist"/>
        <w:numPr>
          <w:ilvl w:val="0"/>
          <w:numId w:val="11"/>
        </w:numPr>
      </w:pPr>
      <w:r>
        <w:t xml:space="preserve">Jedną z przyczyn takiej stanu rzeczy może być niewystarczająca konkurencyjność oferty transportu zbiorowego w porównaniu z transportem indywidualnym. Hipotezę tę częściowo potwierdza opublikowany w tym tygodniu raport Gazety Wyborczej – mieszkańcy Rzeszowa oceniają jakość komunikacji publicznej na wyjątkowo niskim poziomie, przy bardzo korzystnych wartościach w pozostałych kryteriach oceny. Brakuje oczywiście danych dla innych ośrodków miejskich (szczególnie że Rzeszów będzie w dużym stopniu  beneficjentem programów krajowych). Obydwa wskaźniki wskazują jednak, że do zrobienia w okresie programowania 2007-2013 jest ciągle bardzo wiele. </w:t>
      </w:r>
    </w:p>
    <w:p w:rsidR="00424449" w:rsidRDefault="00424449" w:rsidP="00424449">
      <w:pPr>
        <w:pStyle w:val="Akapitzlist"/>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2"/>
      </w:tblGrid>
      <w:tr w:rsidR="00424449" w:rsidTr="00424449">
        <w:tc>
          <w:tcPr>
            <w:tcW w:w="9212" w:type="dxa"/>
          </w:tcPr>
          <w:p w:rsidR="00424449" w:rsidRPr="00E25FAF" w:rsidRDefault="00424449" w:rsidP="00424449">
            <w:pPr>
              <w:pStyle w:val="Legenda"/>
            </w:pPr>
            <w:r w:rsidRPr="00E25FAF">
              <w:t xml:space="preserve">Wykres </w:t>
            </w:r>
            <w:r w:rsidR="001B04AC">
              <w:fldChar w:fldCharType="begin"/>
            </w:r>
            <w:r w:rsidR="008E1D74">
              <w:instrText xml:space="preserve"> SEQ Wykres \* ARABIC </w:instrText>
            </w:r>
            <w:r w:rsidR="001B04AC">
              <w:fldChar w:fldCharType="separate"/>
            </w:r>
            <w:r w:rsidR="00832320">
              <w:rPr>
                <w:noProof/>
              </w:rPr>
              <w:t>19</w:t>
            </w:r>
            <w:r w:rsidR="001B04AC">
              <w:rPr>
                <w:noProof/>
              </w:rPr>
              <w:fldChar w:fldCharType="end"/>
            </w:r>
            <w:r w:rsidRPr="00E25FAF">
              <w:t>. Miejsce Rzeszowa w rankingu miast Gazety Wyborczej w podziale na poszczególne kategorie</w:t>
            </w:r>
          </w:p>
        </w:tc>
      </w:tr>
      <w:tr w:rsidR="00424449" w:rsidTr="00424449">
        <w:tc>
          <w:tcPr>
            <w:tcW w:w="9212" w:type="dxa"/>
          </w:tcPr>
          <w:p w:rsidR="00424449" w:rsidRPr="00D84C86" w:rsidRDefault="00424449" w:rsidP="00424449">
            <w:pPr>
              <w:spacing w:before="120" w:after="120"/>
              <w:jc w:val="center"/>
              <w:rPr>
                <w:highlight w:val="yellow"/>
              </w:rPr>
            </w:pPr>
            <w:r>
              <w:rPr>
                <w:noProof/>
                <w:lang w:eastAsia="pl-PL"/>
              </w:rPr>
              <w:drawing>
                <wp:inline distT="0" distB="0" distL="0" distR="0">
                  <wp:extent cx="4322445" cy="2164080"/>
                  <wp:effectExtent l="0" t="0" r="1905" b="7620"/>
                  <wp:docPr id="225"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2445" cy="2164080"/>
                          </a:xfrm>
                          <a:prstGeom prst="rect">
                            <a:avLst/>
                          </a:prstGeom>
                          <a:noFill/>
                        </pic:spPr>
                      </pic:pic>
                    </a:graphicData>
                  </a:graphic>
                </wp:inline>
              </w:drawing>
            </w:r>
          </w:p>
        </w:tc>
      </w:tr>
      <w:tr w:rsidR="00424449" w:rsidTr="00424449">
        <w:tc>
          <w:tcPr>
            <w:tcW w:w="9212" w:type="dxa"/>
          </w:tcPr>
          <w:p w:rsidR="00424449" w:rsidRDefault="00424449" w:rsidP="00424449">
            <w:pPr>
              <w:pStyle w:val="rdo"/>
            </w:pPr>
            <w:r>
              <w:t xml:space="preserve">Źródło: Opracowanie własne na podstawie rankingu Gazety Wyborczej.   </w:t>
            </w:r>
          </w:p>
        </w:tc>
      </w:tr>
    </w:tbl>
    <w:p w:rsidR="00424449" w:rsidRDefault="00424449" w:rsidP="00424449">
      <w:pPr>
        <w:jc w:val="left"/>
        <w:rPr>
          <w:rFonts w:asciiTheme="majorHAnsi" w:eastAsiaTheme="majorEastAsia" w:hAnsiTheme="majorHAnsi" w:cstheme="majorBidi"/>
          <w:b/>
          <w:bCs/>
          <w:color w:val="366092" w:themeColor="accent1"/>
        </w:rPr>
      </w:pPr>
    </w:p>
    <w:p w:rsidR="00424449" w:rsidRDefault="00424449" w:rsidP="00424449">
      <w:pPr>
        <w:pStyle w:val="Nagwek3"/>
      </w:pPr>
      <w:r>
        <w:lastRenderedPageBreak/>
        <w:t>Ocena logiki interwencji i proponowanych form wsparcia</w:t>
      </w:r>
    </w:p>
    <w:p w:rsidR="00424449" w:rsidRDefault="00424449" w:rsidP="00424449">
      <w:pPr>
        <w:pStyle w:val="Nagwek4"/>
      </w:pPr>
      <w:r>
        <w:t>Poziom osi priorytetowej</w:t>
      </w:r>
    </w:p>
    <w:p w:rsidR="00424449" w:rsidRDefault="00424449" w:rsidP="00424449">
      <w:r>
        <w:t xml:space="preserve">Celem nadrzędnym osi priorytetowej V jest </w:t>
      </w:r>
      <w:r w:rsidRPr="00851D03">
        <w:rPr>
          <w:i/>
        </w:rPr>
        <w:t>poprawa powiązań komunikacyjnych województwa</w:t>
      </w:r>
      <w:r>
        <w:t>. Cel ten został wypracowany w toku niniejszej ewaluacji i należy ocenić go jako poprawny  i zgodny z potrzebami rozwojowymi regionu wyrażonymi w obowiązujących dokumentach strategicznych. Warto podkreślić, ze cel dotyczy zarówno powiązań wewnętrznych (np. w ramach obszarów funkcjonalnych), jak i zewnętrznych (np. powiązania układu drogowego regionu z siecią TEN-T). Definiowany w ten sposób cel pozostają na dość ogólnym poziomie – jego uszczegółowieniem są cele szczegółowe czterech  włączonych do osi priorytetów inwestycyjnych:</w:t>
      </w:r>
    </w:p>
    <w:p w:rsidR="00424449" w:rsidRDefault="00424449" w:rsidP="000965A8">
      <w:pPr>
        <w:pStyle w:val="Akapitzlist"/>
        <w:numPr>
          <w:ilvl w:val="0"/>
          <w:numId w:val="12"/>
        </w:numPr>
        <w:ind w:left="714" w:hanging="357"/>
        <w:contextualSpacing w:val="0"/>
      </w:pPr>
      <w:r w:rsidRPr="00851D03">
        <w:t xml:space="preserve">7.2 </w:t>
      </w:r>
      <w:r w:rsidRPr="00D72D45">
        <w:rPr>
          <w:i/>
        </w:rPr>
        <w:t>Zwiększanie mobilności regionalnej poprzez łączenie węzłów drugorzędnych i trzeciorzędnych z infrastrukturą TEN-T</w:t>
      </w:r>
      <w:r w:rsidR="005013F5">
        <w:rPr>
          <w:i/>
        </w:rPr>
        <w:t>, w tym z węzłami multimodalnymi</w:t>
      </w:r>
      <w:r>
        <w:t>;</w:t>
      </w:r>
    </w:p>
    <w:p w:rsidR="00424449" w:rsidRDefault="00424449" w:rsidP="000965A8">
      <w:pPr>
        <w:pStyle w:val="Akapitzlist"/>
        <w:numPr>
          <w:ilvl w:val="0"/>
          <w:numId w:val="12"/>
        </w:numPr>
        <w:ind w:left="714" w:hanging="357"/>
        <w:contextualSpacing w:val="0"/>
      </w:pPr>
      <w:r>
        <w:t xml:space="preserve">7.3 </w:t>
      </w:r>
      <w:r>
        <w:rPr>
          <w:i/>
        </w:rPr>
        <w:t>Rozwój i usprawnienie przyjaznych środowisku (w tym o obniżonej emisji hałasu) i</w:t>
      </w:r>
      <w:r w:rsidR="002F7C58">
        <w:rPr>
          <w:i/>
        </w:rPr>
        <w:t> </w:t>
      </w:r>
      <w:r>
        <w:rPr>
          <w:i/>
        </w:rPr>
        <w:t xml:space="preserve"> niskoemisyjnych systemów transportu, w tym śródlądowych dróg wodnych i transportu morskiego, portów, połączeń multimodalnych oraz infrastruktury portów lotniczych w celu promowania zrównoważonej mobilności regionalnej i lokalnej;</w:t>
      </w:r>
    </w:p>
    <w:p w:rsidR="00424449" w:rsidRDefault="00424449" w:rsidP="000965A8">
      <w:pPr>
        <w:pStyle w:val="Akapitzlist"/>
        <w:numPr>
          <w:ilvl w:val="0"/>
          <w:numId w:val="12"/>
        </w:numPr>
        <w:ind w:left="714" w:hanging="357"/>
        <w:contextualSpacing w:val="0"/>
      </w:pPr>
      <w:r>
        <w:t xml:space="preserve">7.4 </w:t>
      </w:r>
      <w:r w:rsidR="00AD5A7B">
        <w:rPr>
          <w:i/>
        </w:rPr>
        <w:t>Rozwój i rehabilitacja kompleksowych, wysokiej jakości i interpretacyjnych systemów transportu kolejowego oraz propagowanie działań służących zmniejszeniu hałasu</w:t>
      </w:r>
      <w:r>
        <w:t>;</w:t>
      </w:r>
    </w:p>
    <w:p w:rsidR="00424449" w:rsidRDefault="00424449" w:rsidP="000965A8">
      <w:pPr>
        <w:pStyle w:val="Akapitzlist"/>
        <w:numPr>
          <w:ilvl w:val="0"/>
          <w:numId w:val="12"/>
        </w:numPr>
        <w:ind w:left="714" w:hanging="357"/>
        <w:contextualSpacing w:val="0"/>
      </w:pPr>
      <w:r>
        <w:t>4.5</w:t>
      </w:r>
      <w:r w:rsidR="00AD5A7B">
        <w:rPr>
          <w:i/>
        </w:rPr>
        <w:t xml:space="preserve"> Promowanie strategii niskoemisyjnych dla wszystkich rodzajów terytoriów, w</w:t>
      </w:r>
      <w:r w:rsidR="002F7C58">
        <w:rPr>
          <w:i/>
        </w:rPr>
        <w:t> </w:t>
      </w:r>
      <w:r w:rsidR="00AD5A7B">
        <w:rPr>
          <w:i/>
        </w:rPr>
        <w:t xml:space="preserve"> szczególności dla obszarów miejskich, w tym wspieranie zrównoważonej multimodalnej mobilności miejskiej i działań adaptacyjnych mających oddziaływanie łagodzące na zmiany klimatu</w:t>
      </w:r>
      <w:r>
        <w:t>.</w:t>
      </w:r>
    </w:p>
    <w:p w:rsidR="00424449" w:rsidRDefault="00424449" w:rsidP="00424449">
      <w:r>
        <w:t>Dobór priorytetów inwestycyjnych wynika częściowo z warsztatów przeprowadzonych w ramach ewaluacji ex-ante RPO WP 2014-2020 oraz rekomendacji zgłoszonych we wcześniej przekazanych materiałach – do osi V włączono transportową część priorytetu inwestycyjnego 4.5 (w początkowej wersji programu znajdował się on w całości w osi III).</w:t>
      </w:r>
      <w:r>
        <w:br w:type="page"/>
      </w:r>
    </w:p>
    <w:p w:rsidR="00424449" w:rsidRDefault="00424449" w:rsidP="00424449">
      <w:pPr>
        <w:pStyle w:val="Legenda"/>
        <w:keepNext/>
      </w:pPr>
      <w:r>
        <w:lastRenderedPageBreak/>
        <w:t xml:space="preserve">Schemat </w:t>
      </w:r>
      <w:r w:rsidR="001B04AC">
        <w:fldChar w:fldCharType="begin"/>
      </w:r>
      <w:r w:rsidR="008E1D74">
        <w:instrText xml:space="preserve"> SEQ Schemat \* ARABIC </w:instrText>
      </w:r>
      <w:r w:rsidR="001B04AC">
        <w:fldChar w:fldCharType="separate"/>
      </w:r>
      <w:r w:rsidR="00832320">
        <w:rPr>
          <w:noProof/>
        </w:rPr>
        <w:t>7</w:t>
      </w:r>
      <w:r w:rsidR="001B04AC">
        <w:rPr>
          <w:noProof/>
        </w:rPr>
        <w:fldChar w:fldCharType="end"/>
      </w:r>
      <w:r>
        <w:t>. Model logiczny osi priorytetowej V</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0543"/>
      </w:tblGrid>
      <w:tr w:rsidR="00424449" w:rsidRPr="00DD7322" w:rsidTr="00424449">
        <w:trPr>
          <w:jc w:val="center"/>
        </w:trPr>
        <w:tc>
          <w:tcPr>
            <w:tcW w:w="9286" w:type="dxa"/>
            <w:shd w:val="clear" w:color="auto" w:fill="A4BEDD" w:themeFill="accent1" w:themeFillTint="66"/>
          </w:tcPr>
          <w:p w:rsidR="00424449" w:rsidRPr="00DD7322" w:rsidRDefault="00424449" w:rsidP="00424449">
            <w:pPr>
              <w:spacing w:before="120" w:after="120"/>
              <w:jc w:val="center"/>
              <w:rPr>
                <w:b/>
                <w:i/>
                <w:noProof/>
                <w:lang w:eastAsia="pl-PL"/>
              </w:rPr>
            </w:pPr>
            <w:r w:rsidRPr="00DD7322">
              <w:rPr>
                <w:b/>
                <w:i/>
                <w:noProof/>
                <w:sz w:val="20"/>
                <w:lang w:eastAsia="pl-PL"/>
              </w:rPr>
              <w:t xml:space="preserve">oś priorytetowa </w:t>
            </w:r>
            <w:r>
              <w:rPr>
                <w:b/>
                <w:i/>
                <w:noProof/>
                <w:sz w:val="20"/>
                <w:lang w:eastAsia="pl-PL"/>
              </w:rPr>
              <w:t>V</w:t>
            </w:r>
            <w:r w:rsidRPr="00DD7322">
              <w:rPr>
                <w:b/>
                <w:i/>
                <w:noProof/>
                <w:sz w:val="20"/>
                <w:lang w:eastAsia="pl-PL"/>
              </w:rPr>
              <w:t xml:space="preserve">. </w:t>
            </w:r>
            <w:r>
              <w:rPr>
                <w:b/>
                <w:i/>
                <w:noProof/>
                <w:sz w:val="20"/>
                <w:lang w:eastAsia="pl-PL"/>
              </w:rPr>
              <w:t>Infrastrktura komunikacyjna</w:t>
            </w:r>
          </w:p>
        </w:tc>
      </w:tr>
      <w:tr w:rsidR="00424449" w:rsidRPr="00DD7322" w:rsidTr="00A527C6">
        <w:trPr>
          <w:trHeight w:val="10278"/>
          <w:jc w:val="center"/>
        </w:trPr>
        <w:tc>
          <w:tcPr>
            <w:tcW w:w="9286" w:type="dxa"/>
          </w:tcPr>
          <w:p w:rsidR="00424449" w:rsidRDefault="00424449" w:rsidP="00424449">
            <w:pPr>
              <w:spacing w:before="120" w:after="120"/>
              <w:rPr>
                <w:i/>
                <w:noProof/>
                <w:lang w:eastAsia="pl-PL"/>
              </w:rPr>
            </w:pPr>
          </w:p>
          <w:p w:rsidR="00424449" w:rsidRPr="00DD7322" w:rsidRDefault="001B04AC" w:rsidP="00424449">
            <w:pPr>
              <w:spacing w:before="120" w:after="120"/>
              <w:rPr>
                <w:i/>
              </w:rPr>
            </w:pPr>
            <w:r>
              <w:rPr>
                <w:i/>
                <w:noProof/>
                <w:lang w:eastAsia="pl-PL"/>
              </w:rPr>
            </w:r>
            <w:r>
              <w:rPr>
                <w:i/>
                <w:noProof/>
                <w:lang w:eastAsia="pl-PL"/>
              </w:rPr>
              <w:pict>
                <v:group id="Kanwa 551" o:spid="_x0000_s1127" editas="canvas" style="width:516.25pt;height:476.15pt;mso-position-horizontal-relative:char;mso-position-vertical-relative:line" coordsize="65563,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">
                  <v:shape id="_x0000_s1128" type="#_x0000_t75" style="position:absolute;width:65563;height:60471;visibility:visible">
                    <v:fill o:detectmouseclick="t"/>
                    <v:path o:connecttype="none"/>
                  </v:shape>
                  <v:rect id="Prostokąt 528" o:spid="_x0000_s1129" style="position:absolute;left:952;top:1823;width:8858;height:603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R6UcYA&#10;AADcAAAADwAAAGRycy9kb3ducmV2LnhtbESPQUvDQBCF70L/wzIFb3ZjwVDTbkspVXJQpNGDxyE7&#10;zcZmZ0N2beK/dw6Ctxnem/e+2ewm36krDbENbOB+kYEiroNtuTHw8f50twIVE7LFLjAZ+KEIu+3s&#10;ZoOFDSOf6FqlRkkIxwINuJT6QutYO/IYF6EnFu0cBo9J1qHRdsBRwn2nl1mWa48tS4PDng6O6kv1&#10;7Q1M2cP+OL6446XNnx9fq68yL98+jbmdT/s1qERT+jf/XZdW8FeCL8/IB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R6UcYAAADcAAAADwAAAAAAAAAAAAAAAACYAgAAZHJz&#10;L2Rvd25yZXYueG1sUEsFBgAAAAAEAAQA9QAAAIsDAAAAAA==&#10;" fillcolor="#8064a2 [3207]" stroked="f">
                    <v:textbox>
                      <w:txbxContent>
                        <w:p w:rsidR="00832320" w:rsidRPr="001A732E" w:rsidRDefault="00832320" w:rsidP="00424449">
                          <w:pPr>
                            <w:pStyle w:val="NormalnyWeb"/>
                            <w:spacing w:before="0" w:beforeAutospacing="0" w:after="0" w:afterAutospacing="0" w:line="276" w:lineRule="auto"/>
                            <w:jc w:val="center"/>
                            <w:rPr>
                              <w:rFonts w:asciiTheme="minorHAnsi" w:hAnsiTheme="minorHAnsi"/>
                              <w:b/>
                              <w:color w:val="FFFFFF" w:themeColor="background1"/>
                              <w:sz w:val="16"/>
                            </w:rPr>
                          </w:pPr>
                          <w:r w:rsidRPr="001A732E">
                            <w:rPr>
                              <w:rFonts w:asciiTheme="minorHAnsi" w:eastAsia="SimSun" w:hAnsiTheme="minorHAnsi"/>
                              <w:b/>
                              <w:color w:val="FFFFFF" w:themeColor="background1"/>
                              <w:sz w:val="16"/>
                            </w:rPr>
                            <w:t xml:space="preserve"> cele osi priorytetowej </w:t>
                          </w:r>
                        </w:p>
                      </w:txbxContent>
                    </v:textbox>
                  </v:rect>
                  <v:rect id="Prostokąt 529" o:spid="_x0000_s1130" style="position:absolute;left:285;top:14015;width:8858;height:120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bmq8YA&#10;AADcAAAADwAAAGRycy9kb3ducmV2LnhtbESPQWvCQBCF74X+h2UKvQTdbAtFo6vUlqInxejF25Ad&#10;k9jsbMxuNf333YLgbYb35n1vpvPeNuJCna8da1DDFARx4UzNpYb97mswAuEDssHGMWn4JQ/z2ePD&#10;FDPjrrylSx5KEUPYZ6ihCqHNpPRFRRb90LXEUTu6zmKIa1dK0+E1httGvqTpm7RYcyRU2NJHRcV3&#10;/mMjJDmrU7lJFipp159jPixX6nWp9fNT/z4BEagPd/PtemVi/ZGC/2fiBH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obmq8YAAADcAAAADwAAAAAAAAAAAAAAAACYAgAAZHJz&#10;L2Rvd25yZXYueG1sUEsFBgAAAAAEAAQA9QAAAIsDAAAAAA==&#10;" fillcolor="#76923c [2406]" stroked="f">
                    <v:textbox>
                      <w:txbxContent>
                        <w:p w:rsidR="00832320" w:rsidRPr="001A732E" w:rsidRDefault="00832320" w:rsidP="00424449">
                          <w:pPr>
                            <w:pStyle w:val="NormalnyWeb"/>
                            <w:spacing w:before="0" w:beforeAutospacing="0" w:after="0" w:afterAutospacing="0" w:line="276" w:lineRule="auto"/>
                            <w:jc w:val="center"/>
                            <w:rPr>
                              <w:color w:val="FFFFFF" w:themeColor="background1"/>
                            </w:rPr>
                          </w:pPr>
                          <w:r w:rsidRPr="001A732E">
                            <w:rPr>
                              <w:rFonts w:ascii="Calibri" w:eastAsia="SimSun" w:hAnsi="Calibri"/>
                              <w:b/>
                              <w:bCs/>
                              <w:color w:val="FFFFFF" w:themeColor="background1"/>
                              <w:sz w:val="16"/>
                              <w:szCs w:val="16"/>
                            </w:rPr>
                            <w:t>cele szczegółowe priorytetów inwestycyjnych</w:t>
                          </w:r>
                        </w:p>
                      </w:txbxContent>
                    </v:textbox>
                  </v:rect>
                  <v:rect id="Prostokąt 530" o:spid="_x0000_s1131" style="position:absolute;left:285;top:31342;width:8852;height:2878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dXXsEA&#10;AADcAAAADwAAAGRycy9kb3ducmV2LnhtbERP24rCMBB9F/Yfwizsm6ZbRUptKrKsoo9ePmBsxrZs&#10;M6lNrN2/N4Lg2xzOdbLlYBrRU+dqywq+JxEI4sLqmksFp+N6nIBwHlljY5kU/JODZf4xyjDV9s57&#10;6g++FCGEXYoKKu/bVEpXVGTQTWxLHLiL7Qz6ALtS6g7vIdw0Mo6iuTRYc2iosKWfioq/w80o4FmZ&#10;HK99FA+b83yz3sWn1eX6q9TX57BagPA0+Lf45d7qMD+ZwvOZcIHM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HV17BAAAA3AAAAA8AAAAAAAAAAAAAAAAAmAIAAGRycy9kb3du&#10;cmV2LnhtbFBLBQYAAAAABAAEAPUAAACGAwAAAAA=&#10;" fillcolor="#366092 [3204]" stroked="f">
                    <v:textbox>
                      <w:txbxContent>
                        <w:p w:rsidR="00832320" w:rsidRDefault="00832320" w:rsidP="00424449">
                          <w:pPr>
                            <w:pStyle w:val="NormalnyWeb"/>
                            <w:spacing w:before="0" w:beforeAutospacing="0" w:after="0" w:afterAutospacing="0" w:line="276" w:lineRule="auto"/>
                            <w:jc w:val="center"/>
                          </w:pPr>
                          <w:r>
                            <w:rPr>
                              <w:rFonts w:ascii="Calibri" w:eastAsia="SimSun" w:hAnsi="Calibri"/>
                              <w:b/>
                              <w:bCs/>
                              <w:color w:val="FCFCFC"/>
                              <w:sz w:val="16"/>
                              <w:szCs w:val="16"/>
                            </w:rPr>
                            <w:t>typy projektów</w:t>
                          </w:r>
                        </w:p>
                      </w:txbxContent>
                    </v:textbox>
                  </v:rect>
                  <v:rect id="Prostokąt 249" o:spid="_x0000_s1132" style="position:absolute;left:31290;top:900;width:17196;height:443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YQ8IA&#10;AADcAAAADwAAAGRycy9kb3ducmV2LnhtbERPS2sCMRC+C/6HMEJvmm0pZVmNIoJW6sUXSG/DZrpZ&#10;upmsSarrv28Ewdt8fM+ZzDrbiAv5UDtW8DrKQBCXTtdcKTgelsMcRIjIGhvHpOBGAWbTfm+ChXZX&#10;3tFlHyuRQjgUqMDE2BZShtKQxTByLXHifpy3GBP0ldQeryncNvItyz6kxZpTg8GWFobK3/2fVeDz&#10;kzmvD1+rcr741N/1porndqvUy6Cbj0FE6uJT/HCvdZqfv8P9mXSBn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1ZhDwgAAANwAAAAPAAAAAAAAAAAAAAAAAJgCAABkcnMvZG93&#10;bnJldi54bWxQSwUGAAAAAAQABAD1AAAAhwMAAAAA&#10;" fillcolor="#ccc0d9"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b/>
                              <w:bCs/>
                              <w:sz w:val="18"/>
                              <w:szCs w:val="18"/>
                            </w:rPr>
                            <w:t>poprawa powiązań komunikacyjnych województwa</w:t>
                          </w:r>
                        </w:p>
                      </w:txbxContent>
                    </v:textbox>
                  </v:rect>
                  <v:rect id="Prostokąt 250" o:spid="_x0000_s1133" style="position:absolute;left:10370;top:13963;width:12601;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RycIA&#10;AADcAAAADwAAAGRycy9kb3ducmV2LnhtbERPTYvCMBC9C/6HMII3TRUUqUYRUVAPi6si7G1oxrZs&#10;MylNbLv+eiMseJvH+5zFqjWFqKlyuWUFo2EEgjixOudUwfWyG8xAOI+ssbBMCv7IwWrZ7Sww1rbh&#10;b6rPPhUhhF2MCjLvy1hKl2Rk0A1tSRy4u60M+gCrVOoKmxBuCjmOoqk0mHNoyLCkTUbJ7/lhFJya&#10;3Xh/q5+3r/x5P27XZH+ag1Wq32vXcxCeWv8R/7v3OsyfTeD9TLh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lRHJwgAAANwAAAAPAAAAAAAAAAAAAAAAAJgCAABkcnMvZG93&#10;bnJldi54bWxQSwUGAAAAAAQABAD1AAAAhwM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Poprawa drogowych powiązań w województwie (7.2)</w:t>
                          </w:r>
                        </w:p>
                      </w:txbxContent>
                    </v:textbox>
                  </v:rect>
                  <v:rect id="Prostokąt 251" o:spid="_x0000_s1134" style="position:absolute;left:38388;top:13856;width:12602;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PvsEA&#10;AADcAAAADwAAAGRycy9kb3ducmV2LnhtbERPy6rCMBDdX/AfwgjurqkuRKpRRBTUhVwfCO6GZmyL&#10;zaQ0sa1+/Y0guJvDec503ppC1FS53LKCQT8CQZxYnXOq4Hxa/45BOI+ssbBMCp7kYD7r/Ewx1rbh&#10;A9VHn4oQwi5GBZn3ZSylSzIy6Pq2JA7czVYGfYBVKnWFTQg3hRxG0UgazDk0ZFjSMqPkfnwYBX/N&#10;eri51K/LPn/ddqsF2WuztUr1uu1iAsJT67/ij3ujw/zxCN7PhAvk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Hj77BAAAA3AAAAA8AAAAAAAAAAAAAAAAAmAIAAGRycy9kb3du&#10;cmV2LnhtbFBLBQYAAAAABAAEAPUAAACGAw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Wzrost konkurencyjności oferty transportu kolejowego (7.4)</w:t>
                          </w:r>
                        </w:p>
                      </w:txbxContent>
                    </v:textbox>
                  </v:rect>
                  <v:rect id="Prostokąt 252" o:spid="_x0000_s1135" style="position:absolute;left:52333;top:13851;width:12601;height:1208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qJcIA&#10;AADcAAAADwAAAGRycy9kb3ducmV2LnhtbERPTYvCMBC9C/6HMII3TfWgUo0ioqAeFldF2NvQjG3Z&#10;ZlKa2Hb99UZY8DaP9zmLVWsKUVPlcssKRsMIBHFidc6pgutlN5iBcB5ZY2GZFPyRg9Wy21lgrG3D&#10;31SffSpCCLsYFWTel7GULsnIoBvakjhwd1sZ9AFWqdQVNiHcFHIcRRNpMOfQkGFJm4yS3/PDKDg1&#10;u/H+Vj9vX/nzftyuyf40B6tUv9eu5yA8tf4j/nfvdZg/m8L7mXCB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CyolwgAAANwAAAAPAAAAAAAAAAAAAAAAAJgCAABkcnMvZG93&#10;bnJldi54bWxQSwUGAAAAAAQABAD1AAAAhwM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Poprawa jakości oferty transportu zbiorowego (publicznego) w miastach województwa podkarpackiego (4.5)</w:t>
                          </w:r>
                        </w:p>
                      </w:txbxContent>
                    </v:textbox>
                  </v:rect>
                  <v:shape id="Łącznik prosty ze strzałką 253" o:spid="_x0000_s1136" type="#_x0000_t32" style="position:absolute;left:21093;top:5339;width:18789;height:851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2k5MUAAADcAAAADwAAAGRycy9kb3ducmV2LnhtbESPQWvCQBCF7wX/wzJCb3VTRSvRVVRo&#10;kV4kqd7H7JiEZmdDdtX03zuHgrcZ3pv3vlmue9eoG3Wh9mzgfZSAIi68rbk0cPz5fJuDChHZYuOZ&#10;DPxRgPVq8LLE1Po7Z3TLY6kkhEOKBqoY21TrUFTkMIx8SyzaxXcOo6xdqW2Hdwl3jR4nyUw7rFka&#10;KmxpV1Hxm1+dgcnHOWwvp+n4Wn5PDvsvv82zWWbM67DfLEBF6uPT/H+9t4I/F1p5RibQq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n2k5MUAAADcAAAADwAAAAAAAAAA&#10;AAAAAAChAgAAZHJzL2Rvd25yZXYueG1sUEsFBgAAAAAEAAQA+QAAAJMDAAAAAA==&#10;" strokecolor="#335a8a">
                    <v:stroke endarrow="open"/>
                  </v:shape>
                  <v:shape id="Łącznik prosty ze strzałką 254" o:spid="_x0000_s1137" type="#_x0000_t32" style="position:absolute;left:39889;top:5332;width:4800;height:852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8uoMAAAADcAAAADwAAAGRycy9kb3ducmV2LnhtbERPTUsDMRC9F/wPYYTe2kQFqWvTokJx&#10;r3Y9eBw2Y7J0M1mS2F3765tCobd5vM9ZbyffiyPF1AXW8LBUIIjbYDq2Gr6b3WIFImVkg31g0vBP&#10;Cbabu9kaKxNG/qLjPltRQjhVqMHlPFRSptaRx7QMA3HhfkP0mAuMVpqIYwn3vXxU6ll67Lg0OBzo&#10;w1F72P95DdEMu5p8c6qVck/2893+NIdR6/n99PYKItOUb+KruzZl/uoFLs+UC+TmD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0fLqDAAAAA3AAAAA8AAAAAAAAAAAAAAAAA&#10;oQIAAGRycy9kb3ducmV2LnhtbFBLBQYAAAAABAAEAPkAAACOAwAAAAA=&#10;" strokecolor="#335a8a">
                    <v:stroke endarrow="open"/>
                  </v:shape>
                  <v:shape id="Łącznik prosty ze strzałką 255" o:spid="_x0000_s1138" type="#_x0000_t32" style="position:absolute;left:39889;top:5332;width:18745;height:8519;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wR4MIAAADcAAAADwAAAGRycy9kb3ducmV2LnhtbESPQU/DMAyF70j8h8hI3FgCSAjKsmkg&#10;TfTKyoGj1XhJtcapkrAWfj0+IHGz9Z7f+7zeLnFUZ8plSGzhdmVAEffJDewtfHT7m0dQpSI7HBOT&#10;hW8qsN1cXqyxcWnmdzofqlcSwqVBC6HWqdG69IEillWaiEU7phyxypq9dhlnCY+jvjPmQUccWBoC&#10;TvQaqD8dvqKF7KZ9S7H7aY0J9/7txX92p9na66tl9wyq0lL/zX/XrRP8J8GXZ2QCv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fwR4MIAAADcAAAADwAAAAAAAAAAAAAA&#10;AAChAgAAZHJzL2Rvd25yZXYueG1sUEsFBgAAAAAEAAQA+QAAAJADAAAAAA==&#10;" strokecolor="#335a8a">
                    <v:stroke endarrow="open"/>
                  </v:shape>
                  <v:rect id="Prostokąt 541" o:spid="_x0000_s1139" style="position:absolute;left:10370;top:31328;width:12601;height:28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fdfcIA&#10;AADcAAAADwAAAGRycy9kb3ducmV2LnhtbERPS2vCQBC+F/wPywje6kbB1qSuIoL4aC+N7X2aHZNg&#10;djZk17j9965Q6G0+vucsVsE0oqfO1ZYVTMYJCOLC6ppLBV+n7fMchPPIGhvLpOCXHKyWg6cFZtre&#10;+JP63JcihrDLUEHlfZtJ6YqKDLqxbYkjd7adQR9hV0rd4S2Gm0ZOk+RFGqw5NlTY0qai4pJfjYLZ&#10;4TvNX3fvH/1xHwIeD17Ln1Sp0TCs30B4Cv5f/Ofe6zg/ncDjmXiB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1919wgAAANwAAAAPAAAAAAAAAAAAAAAAAJgCAABkcnMvZG93&#10;bnJldi54bWxQSwUGAAAAAAQABAD1AAAAhwMAAAAA&#10;" fillcolor="#d1deee [660]" stroked="f">
                    <v:textbox>
                      <w:txbxContent>
                        <w:p w:rsidR="00832320" w:rsidRPr="00C566BA" w:rsidRDefault="00832320" w:rsidP="00A527C6">
                          <w:pPr>
                            <w:pStyle w:val="NormalnyWeb"/>
                            <w:spacing w:before="0" w:beforeAutospacing="0" w:after="0" w:afterAutospacing="0" w:line="276" w:lineRule="auto"/>
                            <w:rPr>
                              <w:rFonts w:asciiTheme="minorHAnsi" w:hAnsiTheme="minorHAnsi"/>
                              <w:sz w:val="14"/>
                              <w:szCs w:val="14"/>
                            </w:rPr>
                          </w:pPr>
                          <w:r w:rsidRPr="00C566BA">
                            <w:rPr>
                              <w:rFonts w:asciiTheme="minorHAnsi" w:hAnsiTheme="minorHAnsi"/>
                              <w:sz w:val="14"/>
                              <w:szCs w:val="14"/>
                            </w:rPr>
                            <w:t>- inwestycje dotyczące dróg wojewódzkich (i ewentualnie powiatowych/gminnych) prowadzących do autostrady/drogi ekspresowej lub dróg krajowych łączących się z autostradą/drogą ekspresową, a także przejść granicznych i obszarów inwestycyjnych</w:t>
                          </w:r>
                        </w:p>
                        <w:p w:rsidR="00832320" w:rsidRPr="00C566BA" w:rsidRDefault="00832320" w:rsidP="00A527C6">
                          <w:pPr>
                            <w:pStyle w:val="NormalnyWeb"/>
                            <w:spacing w:before="0" w:beforeAutospacing="0" w:after="0" w:afterAutospacing="0" w:line="276" w:lineRule="auto"/>
                            <w:rPr>
                              <w:rFonts w:asciiTheme="minorHAnsi" w:hAnsiTheme="minorHAnsi"/>
                              <w:sz w:val="14"/>
                              <w:szCs w:val="14"/>
                            </w:rPr>
                          </w:pPr>
                          <w:r w:rsidRPr="00C566BA">
                            <w:rPr>
                              <w:rFonts w:asciiTheme="minorHAnsi" w:hAnsiTheme="minorHAnsi"/>
                              <w:sz w:val="14"/>
                              <w:szCs w:val="14"/>
                            </w:rPr>
                            <w:t>- inwestycje dotyczące dróg wojewódzkich / powiatowych / gminnych usprawniających połączenia do stref aktywności gospodarczej zlokalizowanych w bezpośrednim sąsiedztwie węzłów sieci TEN-T lub połączenia z węzłami przeładunkowymi poza siecią TEN-T</w:t>
                          </w:r>
                        </w:p>
                      </w:txbxContent>
                    </v:textbox>
                  </v:rect>
                  <v:shape id="Łącznik prosty ze strzałką 542" o:spid="_x0000_s1140" type="#_x0000_t32" style="position:absolute;left:16670;top:26047;width:0;height:52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ovkMMAAADbAAAADwAAAGRycy9kb3ducmV2LnhtbESPQWvCQBSE7wX/w/IEb3WjYmyjq6ig&#10;iBdJbO/P7DMJZt+G7Krpv+8KhR6HmfmGWaw6U4sHta6yrGA0jEAQ51ZXXCj4Ou/eP0A4j6yxtkwK&#10;fsjBatl7W2Ci7ZNTemS+EAHCLkEFpfdNIqXLSzLohrYhDt7VtgZ9kG0hdYvPADe1HEdRLA1WHBZK&#10;bGhbUn7L7kbBZHZxm+v3dHwvjpPTYW83WRqnSg363XoOwlPn/8N/7YNW8BnD60v4A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6L5DDAAAA2wAAAA8AAAAAAAAAAAAA&#10;AAAAoQIAAGRycy9kb3ducmV2LnhtbFBLBQYAAAAABAAEAPkAAACRAwAAAAA=&#10;" strokecolor="#335a8a">
                    <v:stroke endarrow="open"/>
                  </v:shape>
                  <v:rect id="Prostokąt 543" o:spid="_x0000_s1141" style="position:absolute;left:38388;top:31328;width:12602;height:28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uZm8MA&#10;AADbAAAADwAAAGRycy9kb3ducmV2LnhtbESPT2vCQBTE74V+h+UJvdWNhVYTXaUUSv13Mer9mX0m&#10;wezbkN3G9du7QqHHYWZ+w8wWwTSip87VlhWMhgkI4sLqmksFh/336wSE88gaG8uk4EYOFvPnpxlm&#10;2l55R33uSxEh7DJUUHnfZlK6oiKDbmhb4uidbWfQR9mVUnd4jXDTyLck+ZAGa44LFbb0VVFxyX+N&#10;gvfVMc3HP5ttv16GgOuV1/KUKvUyCJ9TEJ6C/w//tZdaQTqGx5f4A+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uZm8MAAADbAAAADwAAAAAAAAAAAAAAAACYAgAAZHJzL2Rv&#10;d25yZXYueG1sUEsFBgAAAAAEAAQA9QAAAIgDAAAAAA==&#10;" fillcolor="#d1deee [660]" stroked="f">
                    <v:textbox>
                      <w:txbxContent>
                        <w:p w:rsidR="00832320" w:rsidRPr="00C566BA" w:rsidRDefault="00832320" w:rsidP="00A527C6">
                          <w:pPr>
                            <w:pStyle w:val="NormalnyWeb"/>
                            <w:spacing w:before="0" w:beforeAutospacing="0" w:after="0" w:afterAutospacing="0"/>
                            <w:rPr>
                              <w:rFonts w:ascii="Calibri" w:eastAsia="SimSun" w:hAnsi="Calibri"/>
                              <w:sz w:val="14"/>
                              <w:szCs w:val="14"/>
                            </w:rPr>
                          </w:pPr>
                          <w:r>
                            <w:rPr>
                              <w:rFonts w:ascii="Calibri" w:eastAsia="SimSun" w:hAnsi="Calibri"/>
                              <w:sz w:val="14"/>
                              <w:szCs w:val="14"/>
                            </w:rPr>
                            <w:t xml:space="preserve">- </w:t>
                          </w:r>
                          <w:r w:rsidRPr="00C566BA">
                            <w:rPr>
                              <w:rFonts w:ascii="Calibri" w:eastAsia="SimSun" w:hAnsi="Calibri"/>
                              <w:sz w:val="14"/>
                              <w:szCs w:val="14"/>
                            </w:rPr>
                            <w:t>inwestycje dotyczące taboru kolejowego dla połączeń regionalnych</w:t>
                          </w:r>
                        </w:p>
                        <w:p w:rsidR="00832320" w:rsidRDefault="00832320" w:rsidP="00A527C6">
                          <w:pPr>
                            <w:pStyle w:val="NormalnyWeb"/>
                            <w:spacing w:before="0" w:beforeAutospacing="0" w:after="0" w:afterAutospacing="0" w:line="276" w:lineRule="auto"/>
                          </w:pPr>
                          <w:r>
                            <w:rPr>
                              <w:rFonts w:ascii="Calibri" w:eastAsia="SimSun" w:hAnsi="Calibri"/>
                              <w:sz w:val="14"/>
                              <w:szCs w:val="14"/>
                            </w:rPr>
                            <w:t xml:space="preserve">- </w:t>
                          </w:r>
                          <w:r w:rsidRPr="00C566BA">
                            <w:rPr>
                              <w:rFonts w:ascii="Calibri" w:eastAsia="SimSun" w:hAnsi="Calibri"/>
                              <w:sz w:val="14"/>
                              <w:szCs w:val="14"/>
                            </w:rPr>
                            <w:t>inwestycje dotyczące infrastruktury kolejowej o znaczeniu regionalnym (linie kolejowe, w tym wąskotorowe, dworce, zaplecze techniczne)</w:t>
                          </w:r>
                        </w:p>
                      </w:txbxContent>
                    </v:textbox>
                  </v:rect>
                  <v:rect id="Prostokąt 544" o:spid="_x0000_s1142" style="position:absolute;left:52333;top:31328;width:12601;height:28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QN6cAA&#10;AADbAAAADwAAAGRycy9kb3ducmV2LnhtbERPyW7CMBC9V+o/WFOJGzhFYknAoAoJsZQLAe5DPE2i&#10;xuMoNsH9+/pQqcenty/XwTSip87VlhW8jxIQxIXVNZcKrpftcA7CeWSNjWVS8EMO1qvXlyVm2j75&#10;TH3uSxFD2GWooPK+zaR0RUUG3ci2xJH7sp1BH2FXSt3hM4abRo6TZCoN1hwbKmxpU1HxnT+Mgsnh&#10;luaz3eepP+5DwOPBa3lPlRq8hY8FCE/B/4v/3HutII1j45f4A+Tq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0QN6cAAAADbAAAADwAAAAAAAAAAAAAAAACYAgAAZHJzL2Rvd25y&#10;ZXYueG1sUEsFBgAAAAAEAAQA9QAAAIUDAAAAAA==&#10;" fillcolor="#d1deee [660]" stroked="f">
                    <v:textbox>
                      <w:txbxContent>
                        <w:p w:rsidR="00832320" w:rsidRPr="00171893" w:rsidRDefault="00832320" w:rsidP="00171893">
                          <w:pPr>
                            <w:pStyle w:val="NormalnyWeb"/>
                            <w:spacing w:after="0"/>
                            <w:rPr>
                              <w:rFonts w:ascii="Calibri" w:eastAsia="SimSun" w:hAnsi="Calibri"/>
                              <w:sz w:val="14"/>
                              <w:szCs w:val="14"/>
                            </w:rPr>
                          </w:pPr>
                          <w:r>
                            <w:rPr>
                              <w:rFonts w:ascii="Calibri" w:eastAsia="SimSun" w:hAnsi="Calibri"/>
                              <w:sz w:val="14"/>
                              <w:szCs w:val="14"/>
                            </w:rPr>
                            <w:t>- </w:t>
                          </w:r>
                          <w:r w:rsidRPr="00171893">
                            <w:rPr>
                              <w:rFonts w:ascii="Calibri" w:eastAsia="SimSun" w:hAnsi="Calibri"/>
                              <w:sz w:val="14"/>
                              <w:szCs w:val="14"/>
                            </w:rPr>
                            <w:t>inwestycje dotyczące niskoemisyjnego taboru oraz infrastruktury transportu publicznego na terenie miast lub miast i obszarów powiązanych z nimi funkcjonalnie - uzupełnienie projektów realizowanych z poziomu krajowego</w:t>
                          </w:r>
                        </w:p>
                        <w:p w:rsidR="00832320" w:rsidRDefault="00832320" w:rsidP="00171893">
                          <w:pPr>
                            <w:pStyle w:val="NormalnyWeb"/>
                            <w:spacing w:before="0" w:beforeAutospacing="0" w:after="0" w:afterAutospacing="0" w:line="276" w:lineRule="auto"/>
                          </w:pPr>
                          <w:r>
                            <w:rPr>
                              <w:rFonts w:ascii="Calibri" w:eastAsia="SimSun" w:hAnsi="Calibri"/>
                              <w:sz w:val="14"/>
                              <w:szCs w:val="14"/>
                            </w:rPr>
                            <w:t xml:space="preserve">- </w:t>
                          </w:r>
                          <w:r w:rsidRPr="00171893">
                            <w:rPr>
                              <w:rFonts w:ascii="Calibri" w:eastAsia="SimSun" w:hAnsi="Calibri"/>
                              <w:sz w:val="14"/>
                              <w:szCs w:val="14"/>
                            </w:rPr>
                            <w:t>rozwiązania z zakresu organizacji ruchu, ułatwiające sprawne poruszanie się pojazdów komunikacji zbiorowej (np. budowa, remont, przebudowa pętli, zatok, dworców lub wydzielenie pasów ruchu dla autobusów komunikacji zbiorowej oraz poz</w:t>
                          </w:r>
                          <w:r>
                            <w:rPr>
                              <w:rFonts w:ascii="Calibri" w:eastAsia="SimSun" w:hAnsi="Calibri"/>
                              <w:sz w:val="14"/>
                              <w:szCs w:val="14"/>
                            </w:rPr>
                            <w:t xml:space="preserve">ostałej infrastruktury służącej </w:t>
                          </w:r>
                          <w:r w:rsidRPr="00171893">
                            <w:rPr>
                              <w:rFonts w:ascii="Calibri" w:eastAsia="SimSun" w:hAnsi="Calibri"/>
                              <w:sz w:val="14"/>
                              <w:szCs w:val="14"/>
                            </w:rPr>
                            <w:t>obsłudze pasażerów)</w:t>
                          </w:r>
                          <w:r>
                            <w:rPr>
                              <w:rFonts w:eastAsia="SimSun"/>
                            </w:rPr>
                            <w:t> </w:t>
                          </w:r>
                        </w:p>
                      </w:txbxContent>
                    </v:textbox>
                  </v:rect>
                  <v:shape id="Łącznik prosty ze strzałką 545" o:spid="_x0000_s1143" type="#_x0000_t32" style="position:absolute;left:44689;top:25940;width:0;height:538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W74sUAAADbAAAADwAAAGRycy9kb3ducmV2LnhtbESPQWvCQBSE7wX/w/KE3uqmhlpNXcUI&#10;LeKlJOr9NftMQrNvQ3ZN0n/fFQo9DjPzDbPejqYRPXWutqzgeRaBIC6srrlUcD69Py1BOI+ssbFM&#10;Cn7IwXYzeVhjou3AGfW5L0WAsEtQQeV9m0jpiooMupltiYN3tZ1BH2RXSt3hEOCmkfMoWkiDNYeF&#10;ClvaV1R85zejIH79cun18jK/lcf48/Bh0zxbZEo9TsfdGwhPo/8P/7UPWsFqBfcv4Q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W74sUAAADbAAAADwAAAAAAAAAA&#10;AAAAAAChAgAAZHJzL2Rvd25yZXYueG1sUEsFBgAAAAAEAAQA+QAAAJMDAAAAAA==&#10;" strokecolor="#335a8a">
                    <v:stroke endarrow="open"/>
                  </v:shape>
                  <v:shape id="Łącznik prosty ze strzałką 546" o:spid="_x0000_s1144" type="#_x0000_t32" style="position:absolute;left:58634;top:25936;width:0;height:539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aEZ8IAAADcAAAADwAAAGRycy9kb3ducmV2LnhtbESPQUsDMRCF74L/IYzgzSYqiKxNSysU&#10;92rXQ4/DZkyWbiZLErurv945CN5meG/e+2a9XeKoLpTLkNjC/cqAIu6TG9hb+OgOd8+gSkV2OCYm&#10;C99UYLu5vlpj49LM73Q5Vq8khEuDFkKtU6N16QNFLKs0EYv2mXLEKmv22mWcJTyO+sGYJx1xYGkI&#10;ONFroP58/IoWspsOLcXupzUmPPq3vT9159na25tl9wKq0lL/zX/XrRN8I/jyjEy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faEZ8IAAADcAAAADwAAAAAAAAAAAAAA&#10;AAChAgAAZHJzL2Rvd25yZXYueG1sUEsFBgAAAAAEAAQA+QAAAJADAAAAAA==&#10;" strokecolor="#335a8a">
                    <v:stroke endarrow="open"/>
                  </v:shape>
                  <v:rect id="Prostokąt 547" o:spid="_x0000_s1145" style="position:absolute;left:24207;top:13884;width:12601;height:120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0UkMEA&#10;AADcAAAADwAAAGRycy9kb3ducmV2LnhtbERPy6rCMBDdC/5DGMGdproQqUaRyxXUhfhCuLuhGdty&#10;m0lpYlv9eiMI7uZwnjNftqYQNVUut6xgNIxAECdW55wquJzXgykI55E1FpZJwYMcLBfdzhxjbRs+&#10;Un3yqQgh7GJUkHlfxlK6JCODbmhL4sDdbGXQB1ilUlfYhHBTyHEUTaTBnENDhiX9ZJT8n+5GwaFZ&#10;jzfX+nnd58/b7ndF9q/ZWqX6vXY1A+Gp9V/xx73RYX40gvcz4QK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59FJDBAAAA3AAAAA8AAAAAAAAAAAAAAAAAmAIAAGRycy9kb3du&#10;cmV2LnhtbFBLBQYAAAAABAAEAPUAAACGAwAAAAA=&#10;" fillcolor="#c2d69b" stroked="f">
                    <v:textbox>
                      <w:txbxContent>
                        <w:p w:rsidR="00832320" w:rsidRDefault="00832320" w:rsidP="00424449">
                          <w:pPr>
                            <w:pStyle w:val="NormalnyWeb"/>
                            <w:spacing w:before="0" w:beforeAutospacing="0" w:after="200" w:afterAutospacing="0" w:line="276" w:lineRule="auto"/>
                            <w:jc w:val="center"/>
                          </w:pPr>
                          <w:r>
                            <w:rPr>
                              <w:rFonts w:ascii="Calibri" w:eastAsia="Calibri" w:hAnsi="Calibri"/>
                              <w:sz w:val="16"/>
                              <w:szCs w:val="16"/>
                            </w:rPr>
                            <w:t>Rozwój transportu multimodalnego w województwie (7.3)</w:t>
                          </w:r>
                        </w:p>
                      </w:txbxContent>
                    </v:textbox>
                  </v:rect>
                  <v:rect id="Prostokąt 548" o:spid="_x0000_s1146" style="position:absolute;left:24207;top:31342;width:12601;height:28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WjcIA&#10;AADcAAAADwAAAGRycy9kb3ducmV2LnhtbERPS2vCQBC+C/6HZYTe6kbBWmM2IoXiq5em7X3Mjkkw&#10;Oxuy27j9991Cwdt8fM/JNsG0YqDeNZYVzKYJCOLS6oYrBZ8fr4/PIJxH1thaJgU/5GCTj0cZptre&#10;+J2GwlcihrBLUUHtfZdK6cqaDLqp7Ygjd7G9QR9hX0nd4y2Gm1bOk+RJGmw4NtTY0UtN5bX4NgoW&#10;h69Vsdyd3objPgQ8HryW55VSD5OwXYPwFPxd/O/e6zg/mcP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D9aNwgAAANwAAAAPAAAAAAAAAAAAAAAAAJgCAABkcnMvZG93&#10;bnJldi54bWxQSwUGAAAAAAQABAD1AAAAhwMAAAAA&#10;" fillcolor="#d1deee [660]" stroked="f">
                    <v:textbox>
                      <w:txbxContent>
                        <w:p w:rsidR="00832320" w:rsidRPr="00541FAD" w:rsidRDefault="00832320" w:rsidP="00424449">
                          <w:pPr>
                            <w:pStyle w:val="NormalnyWeb"/>
                            <w:spacing w:before="0" w:beforeAutospacing="0" w:after="0" w:afterAutospacing="0" w:line="276" w:lineRule="auto"/>
                            <w:rPr>
                              <w:rFonts w:asciiTheme="minorHAnsi" w:hAnsiTheme="minorHAnsi"/>
                              <w:sz w:val="14"/>
                              <w:szCs w:val="14"/>
                            </w:rPr>
                          </w:pPr>
                          <w:r>
                            <w:rPr>
                              <w:rFonts w:asciiTheme="minorHAnsi" w:hAnsiTheme="minorHAnsi"/>
                              <w:sz w:val="14"/>
                              <w:szCs w:val="14"/>
                            </w:rPr>
                            <w:t>p</w:t>
                          </w:r>
                          <w:r w:rsidRPr="00541FAD">
                            <w:rPr>
                              <w:rFonts w:asciiTheme="minorHAnsi" w:hAnsiTheme="minorHAnsi"/>
                              <w:sz w:val="14"/>
                              <w:szCs w:val="14"/>
                            </w:rPr>
                            <w:t>rojekty dotyczące transportu multimodalnego (infrastruktura centrów logistycznych, terminali przeładunkowych nie należących do sieci TEN-T, infrastruktura techniczna i operacyjna</w:t>
                          </w:r>
                          <w:r>
                            <w:rPr>
                              <w:rFonts w:asciiTheme="minorHAnsi" w:hAnsiTheme="minorHAnsi"/>
                              <w:sz w:val="14"/>
                              <w:szCs w:val="14"/>
                            </w:rPr>
                            <w:t>, urządzenia i systemy wykorzystywane w transporcie multimodalnym</w:t>
                          </w:r>
                          <w:r w:rsidRPr="00541FAD">
                            <w:rPr>
                              <w:rFonts w:asciiTheme="minorHAnsi" w:hAnsiTheme="minorHAnsi"/>
                              <w:sz w:val="14"/>
                              <w:szCs w:val="14"/>
                            </w:rPr>
                            <w:t xml:space="preserve">) </w:t>
                          </w:r>
                        </w:p>
                      </w:txbxContent>
                    </v:textbox>
                  </v:rect>
                  <v:shape id="Łącznik prosty ze strzałką 549" o:spid="_x0000_s1147" type="#_x0000_t32" style="position:absolute;left:30508;top:25968;width:0;height:537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QaEMAAAADcAAAADwAAAGRycy9kb3ducmV2LnhtbERPTWsCMRC9F/wPYQreatIKpWyNooK4&#10;17o9eBw202RxM1mS1F399U2h0Ns83uesNpPvxZVi6gJreF4oEMRtMB1bDZ/N4ekNRMrIBvvApOFG&#10;CTbr2cMKKxNG/qDrKVtRQjhVqMHlPFRSptaRx7QIA3HhvkL0mAuMVpqIYwn3vXxR6lV67Lg0OBxo&#10;76i9nL69hmiGQ02+uddKuaU97uy5uYxazx+n7TuITFP+F/+5a1PmqyX8PlMukOs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EkGhDAAAAA3AAAAA8AAAAAAAAAAAAAAAAA&#10;oQIAAGRycy9kb3ducmV2LnhtbFBLBQYAAAAABAAEAPkAAACOAwAAAAA=&#10;" strokecolor="#335a8a">
                    <v:stroke endarrow="open"/>
                  </v:shape>
                  <v:shape id="Łącznik prosty ze strzałką 550" o:spid="_x0000_s1148" type="#_x0000_t32" style="position:absolute;left:30508;top:5332;width:9381;height:85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Otu8EAAADcAAAADwAAAGRycy9kb3ducmV2LnhtbERPS4vCMBC+L+x/CLPgbU19S9coKiiy&#10;F2nV+2wztsVmUpqo9d+bBcHbfHzPmS1aU4kbNa60rKDXjUAQZ1aXnCs4HjbfUxDOI2usLJOCBzlY&#10;zD8/Zhhre+eEbqnPRQhhF6OCwvs6ltJlBRl0XVsTB+5sG4M+wCaXusF7CDeV7EfRWBosOTQUWNO6&#10;oOySXo2CweTPrc6nUf+a/w72u61dpck4Uarz1S5/QHhq/Vv8cu90mB8N4f+ZcIGcP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4627wQAAANwAAAAPAAAAAAAAAAAAAAAA&#10;AKECAABkcnMvZG93bnJldi54bWxQSwUGAAAAAAQABAD5AAAAjwMAAAAA&#10;" strokecolor="#335a8a">
                    <v:stroke endarrow="open"/>
                  </v:shape>
                  <w10:wrap type="none"/>
                  <w10:anchorlock/>
                </v:group>
              </w:pict>
            </w:r>
          </w:p>
        </w:tc>
      </w:tr>
    </w:tbl>
    <w:p w:rsidR="00424449" w:rsidRPr="00DD7322" w:rsidRDefault="00424449" w:rsidP="00424449">
      <w:pPr>
        <w:jc w:val="center"/>
        <w:rPr>
          <w:i/>
        </w:rPr>
      </w:pPr>
      <w:r w:rsidRPr="00DD7322">
        <w:rPr>
          <w:i/>
        </w:rPr>
        <w:t>Źródło: Opracowanie własne.</w:t>
      </w:r>
    </w:p>
    <w:p w:rsidR="00424449" w:rsidRDefault="00424449" w:rsidP="00424449">
      <w:pPr>
        <w:jc w:val="left"/>
      </w:pPr>
      <w:r>
        <w:br w:type="page"/>
      </w:r>
      <w:r w:rsidR="00834639">
        <w:lastRenderedPageBreak/>
        <w:tab/>
      </w:r>
    </w:p>
    <w:p w:rsidR="00424449" w:rsidRDefault="00424449" w:rsidP="00A527C6">
      <w:pPr>
        <w:pStyle w:val="Nagwek4"/>
        <w:jc w:val="left"/>
      </w:pPr>
      <w:r>
        <w:t>7.2</w:t>
      </w:r>
      <w:r w:rsidRPr="00B439E0">
        <w:t xml:space="preserve"> Zwiększanie mobilności regionalnej poprzez łączenie węzłów drugorzędnych i trzeciorzędnych z</w:t>
      </w:r>
      <w:r>
        <w:t> </w:t>
      </w:r>
      <w:r w:rsidRPr="00AD56F7">
        <w:t>infrastrukturą TEN-T</w:t>
      </w:r>
      <w:r w:rsidR="00F725A7">
        <w:t>, w tym z węzłami multimodalnymi</w:t>
      </w:r>
    </w:p>
    <w:p w:rsidR="00424449" w:rsidRDefault="00424449" w:rsidP="00424449">
      <w:r>
        <w:t xml:space="preserve">Cele szczegółowym </w:t>
      </w:r>
      <w:r w:rsidR="00B6022D">
        <w:t>PI</w:t>
      </w:r>
      <w:r>
        <w:t xml:space="preserve"> 7.2 jest </w:t>
      </w:r>
      <w:r>
        <w:rPr>
          <w:i/>
        </w:rPr>
        <w:t>poprawa drogowych powiązań w </w:t>
      </w:r>
      <w:r w:rsidRPr="00B439E0">
        <w:rPr>
          <w:i/>
        </w:rPr>
        <w:t>województwie</w:t>
      </w:r>
      <w:r>
        <w:t xml:space="preserve">. </w:t>
      </w:r>
    </w:p>
    <w:p w:rsidR="00424449" w:rsidRDefault="00424449" w:rsidP="00424449">
      <w:r>
        <w:t xml:space="preserve">W opisie priorytetu inwestycyjnego trafnie wskazuje się także na inne oczekiwane efekty interwencji – w szczególności w projekcie programu jest mowa o poprawie dostępności drogowej Rzeszowa oraz zwiększeniu bezpieczeństwa ruchu drogowego. Warto przy tym podkreślić, że drugi z wymienionych efektów zostanie osiągnięty nie tylko poprzez modernizację ciągów drogowych, ale także poprzez wyprowadzenie ruchu drogowego z obszarów miejskich (np. poprzez budowę obwodnic). </w:t>
      </w:r>
    </w:p>
    <w:p w:rsidR="00424449" w:rsidRDefault="00424449" w:rsidP="00424449">
      <w:r>
        <w:t xml:space="preserve">Docelową trafność i użyteczność interwencji w priorytecie inwestycyjnym 7.2 będzie można ocenić dopiero na podstawie konkretnych przedsięwzięć, które zostaną w jego ramach zrealizowane. Zapisy programu znajdują się na stosukowo wysokim poziomie ogólności, wydaje się jednak, że wskazano w nich najważniejsze kryteria, którymi zarządzających programem kierować się będą wybierając konkretne projekty inwestycyjne. </w:t>
      </w:r>
    </w:p>
    <w:p w:rsidR="00424449" w:rsidRDefault="00424449" w:rsidP="00424449">
      <w:pPr>
        <w:pStyle w:val="Akapitzlist"/>
        <w:numPr>
          <w:ilvl w:val="0"/>
          <w:numId w:val="6"/>
        </w:numPr>
        <w:ind w:left="714" w:hanging="357"/>
        <w:contextualSpacing w:val="0"/>
      </w:pPr>
      <w:r>
        <w:t xml:space="preserve">Prawidłowym rozwiązaniem jest silne wyeksponowanie konieczności poprawy powiązań regionu z autostradą A4 oraz (w przyszłości) drogą ekspresową S19.  Zgodnie z wnioskami wypracowanymi w ramach niniejszej ewaluacji (m.in. podczas warsztatów tematycznych), drogi szybkiego ruchu są dla województwa zarówno szansą, jak i zagrożeniem. Rozprowadzenie ruchu z węzłów autostrady w kierunku bardziej peryferyjnych części regionu będzie kluczowym zadaniem w perspektywie finansowej 2014-2020. W programie słusznie podkreśla się preferowanie odcinków dróg o największym natężeniu ruchu. </w:t>
      </w:r>
    </w:p>
    <w:p w:rsidR="00424449" w:rsidRDefault="00424449" w:rsidP="00424449">
      <w:pPr>
        <w:pStyle w:val="Akapitzlist"/>
        <w:numPr>
          <w:ilvl w:val="0"/>
          <w:numId w:val="6"/>
        </w:numPr>
        <w:ind w:left="714" w:hanging="357"/>
        <w:contextualSpacing w:val="0"/>
      </w:pPr>
      <w:r>
        <w:t xml:space="preserve">Słusznie zaproponowano koncentrację na dokończeniu inwestycji rozpoczętych w obecnym okresie programowania. Badania ewaluacyjne potwierdzają, że tylko całe ciągi drogowe przekładają się na wymierne efekty - lepszą dostępność, niższe czasy przejazdów itp.  </w:t>
      </w:r>
    </w:p>
    <w:p w:rsidR="00424449" w:rsidRPr="00A527C6" w:rsidRDefault="00424449" w:rsidP="00424449">
      <w:pPr>
        <w:pStyle w:val="Akapitzlist"/>
        <w:numPr>
          <w:ilvl w:val="0"/>
          <w:numId w:val="6"/>
        </w:numPr>
        <w:ind w:left="714" w:hanging="357"/>
        <w:contextualSpacing w:val="0"/>
        <w:rPr>
          <w:rFonts w:asciiTheme="majorHAnsi" w:eastAsiaTheme="majorEastAsia" w:hAnsiTheme="majorHAnsi" w:cstheme="majorBidi"/>
          <w:b/>
          <w:bCs/>
          <w:i/>
          <w:iCs/>
          <w:color w:val="366092" w:themeColor="accent1"/>
        </w:rPr>
      </w:pPr>
      <w:r>
        <w:t>Właściwym krokiem jest podkreślenie, że interwencja RPO WP będzie przede wszystkim obejmować drogi wojewódzkie. Wsparcie dla dróg lokalnych będzie znacznie ograniczone, na co wskazują zapisane w programie kryteria (powiązanie z siecią TEN-T, powiązanie ze strefami aktywności gospodarczej lub wpisywanie się w szerszą koncepcję rozwojową MOF).  Praktyczne wdrożenie powyższych kryteriów będzie jednak trudne.</w:t>
      </w:r>
    </w:p>
    <w:p w:rsidR="00A527C6" w:rsidRDefault="00A527C6">
      <w:pPr>
        <w:jc w:val="left"/>
        <w:rPr>
          <w:rFonts w:asciiTheme="majorHAnsi" w:eastAsiaTheme="majorEastAsia" w:hAnsiTheme="majorHAnsi" w:cstheme="majorBidi"/>
          <w:b/>
          <w:bCs/>
          <w:i/>
          <w:iCs/>
          <w:color w:val="366092" w:themeColor="accent1"/>
        </w:rPr>
      </w:pPr>
      <w:r>
        <w:rPr>
          <w:rFonts w:asciiTheme="majorHAnsi" w:eastAsiaTheme="majorEastAsia" w:hAnsiTheme="majorHAnsi" w:cstheme="majorBidi"/>
          <w:b/>
          <w:bCs/>
          <w:i/>
          <w:iCs/>
          <w:color w:val="366092" w:themeColor="accent1"/>
        </w:rPr>
        <w:br w:type="page"/>
      </w:r>
    </w:p>
    <w:p w:rsidR="00A527C6" w:rsidRDefault="00A527C6" w:rsidP="00A527C6">
      <w:pPr>
        <w:jc w:val="left"/>
        <w:rPr>
          <w:rFonts w:asciiTheme="majorHAnsi" w:eastAsiaTheme="majorEastAsia" w:hAnsiTheme="majorHAnsi" w:cstheme="majorBidi"/>
          <w:b/>
          <w:bCs/>
          <w:i/>
          <w:iCs/>
          <w:color w:val="366092" w:themeColor="accent1"/>
        </w:rPr>
      </w:pPr>
      <w:r>
        <w:rPr>
          <w:rFonts w:asciiTheme="majorHAnsi" w:eastAsiaTheme="majorEastAsia" w:hAnsiTheme="majorHAnsi" w:cstheme="majorBidi"/>
          <w:b/>
          <w:bCs/>
          <w:i/>
          <w:iCs/>
          <w:color w:val="366092" w:themeColor="accent1"/>
        </w:rPr>
        <w:lastRenderedPageBreak/>
        <w:t xml:space="preserve">7.3 </w:t>
      </w:r>
      <w:r w:rsidRPr="00A527C6">
        <w:rPr>
          <w:rFonts w:asciiTheme="majorHAnsi" w:eastAsiaTheme="majorEastAsia" w:hAnsiTheme="majorHAnsi" w:cstheme="majorBidi"/>
          <w:b/>
          <w:bCs/>
          <w:i/>
          <w:iCs/>
          <w:color w:val="366092" w:themeColor="accent1"/>
        </w:rPr>
        <w:t>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p>
    <w:p w:rsidR="00A527C6" w:rsidRPr="00A527C6" w:rsidRDefault="00A527C6" w:rsidP="00A527C6">
      <w:r>
        <w:t xml:space="preserve">Cel szczegółowy priorytetu inwestycyjnego 7.3 określono jako </w:t>
      </w:r>
      <w:r w:rsidRPr="00A527C6">
        <w:rPr>
          <w:i/>
        </w:rPr>
        <w:t>roz</w:t>
      </w:r>
      <w:r>
        <w:rPr>
          <w:i/>
        </w:rPr>
        <w:t>wój transportu multimodalnego w </w:t>
      </w:r>
      <w:r w:rsidRPr="00A527C6">
        <w:rPr>
          <w:i/>
        </w:rPr>
        <w:t>województwie</w:t>
      </w:r>
      <w:r>
        <w:rPr>
          <w:i/>
        </w:rPr>
        <w:t xml:space="preserve">. </w:t>
      </w:r>
      <w:r>
        <w:t xml:space="preserve">Rezultat został zdefiniowany właściwe – wychodzi naprzeciw wyzwaniom zidentyfikowanym w części diagnostycznej programu. Do realizacji celu przyczynią się przewidziane typy projektów – w szczególności infrastruktura centrów logistycznych i terminali przeładunkowych. Podczas prac nad dokumentami wdrożeniowym rekomenduje się ukierunkowanie interwencji na inwestycje, których priorytetowy charakter wskazano w sekcji 1.1, tj. w szczególności na wykorzystanie potencjału LHS. </w:t>
      </w:r>
    </w:p>
    <w:p w:rsidR="00424449" w:rsidRDefault="00424449" w:rsidP="00FD5E31">
      <w:pPr>
        <w:pStyle w:val="Nagwek4"/>
      </w:pPr>
      <w:r w:rsidRPr="005541FF">
        <w:t xml:space="preserve">7.4 </w:t>
      </w:r>
      <w:r w:rsidR="00B6022D" w:rsidRPr="00B6022D">
        <w:t>Rozwój i rehabilitacja kompleksowych, wysokiej jakości i interpretacyjnych systemów transportu kolejowego oraz propagowanie działań służących zmniejszeniu hałasu</w:t>
      </w:r>
    </w:p>
    <w:p w:rsidR="00424449" w:rsidRPr="00C566BA" w:rsidRDefault="00424449" w:rsidP="00424449">
      <w:r w:rsidRPr="00C566BA">
        <w:t xml:space="preserve">Celem szczegółowym priorytetu inwestycyjnego 7.4 jest </w:t>
      </w:r>
      <w:r w:rsidRPr="00C566BA">
        <w:rPr>
          <w:i/>
        </w:rPr>
        <w:t>wzrost konkurencyjności oferty transportu kolejowego</w:t>
      </w:r>
      <w:r w:rsidRPr="00C566BA">
        <w:t>. Sformułowanie takiego celu wynika ze zdiagnozowanej w opisie priorytetu malejącego udziału kolei w przewozach regionalnych. Wpływ na to zjawisko miał szereg przyczyn, wśród nich także stopniowy wzrost zamożności mieszkańców regionu, co spowodowało wzrost popularności indywidualnych środków transportu. Istotnym czynnikiem jest jednak także nieatrakcyjność transportu kolejowego - długie czasy przejazdu, przestarzały tabor, a także brak wystarczającej integracji z innymi gałęziami transportu. Celem interwencji w PI 7.4 będzie odwrócenie niekorzystanych tendencji - dlatego też monitorując interwencję warto (oprócz zaproponowanego w programie wskaźnika międzygałęziowej dostępności transportowej) systematycznie zbierać dane o wielkości przewozów koleją regionalną. Pozwoli to na faktyczną weryfikację tego, czy w okresie realizacji programu transport kolejowy zdobył nowych klientów, a więc czy atrakcyjność jego oferty rzeczywiście wzrosła.</w:t>
      </w:r>
    </w:p>
    <w:p w:rsidR="00424449" w:rsidRPr="00C566BA" w:rsidRDefault="00424449" w:rsidP="00424449">
      <w:r w:rsidRPr="00C566BA">
        <w:t xml:space="preserve">Podobnie jak w przypadku transportu drogowego, ocena trafności i użyteczności interwencji wymaga bardziej szczegółowych informacji na temat konkretnych planów inwestycyjnych. Z zapisów programu wyłaniają się jednak racjonalne kryteria kierunkowania środków, które będą miały szansę przyczynić się do realizacji celu szczegółowego. W szczególności trafnym rozwiązaniem wydaje się być dopuszczenie zarówno inwestycji liniowych, jak i punktowych, a także zakupu taboru - jedynie cały ten pakiet ma potencjalnie szanse na zwiększenie konkurencyjności kolei w przewozach regionalnych. </w:t>
      </w:r>
    </w:p>
    <w:p w:rsidR="00424449" w:rsidRPr="0083413C" w:rsidRDefault="00424449" w:rsidP="00424449">
      <w:r w:rsidRPr="00C566BA">
        <w:t>Należy także pamiętać o tym, że dla realizacji celu (tj. poprawy konkurencyjności oferty oraz – w konsekwencji - wzrostu liczby przewozów koleją regionalną) konieczne jest preferowanie nie tyle inwestycji odtworzeniowych, ale przede wszystkim podnoszących parametry istniejących sieci (modernizacja w większym stopniu niż rehabilitacja), dostosowujących sieć do zachodzących w</w:t>
      </w:r>
      <w:r w:rsidR="002F7C58">
        <w:t> </w:t>
      </w:r>
      <w:r w:rsidRPr="00C566BA">
        <w:t xml:space="preserve"> regionie procesów przestrzennych (nowe przystanki) oraz zwiększających komfort podróży (raczej nowy, niż modernizowany tabor).</w:t>
      </w:r>
      <w:r>
        <w:t xml:space="preserve"> </w:t>
      </w:r>
    </w:p>
    <w:p w:rsidR="00693166" w:rsidRDefault="00424449" w:rsidP="00B6022D">
      <w:pPr>
        <w:pStyle w:val="Nagwek4"/>
      </w:pPr>
      <w:r w:rsidRPr="00E25FAF">
        <w:lastRenderedPageBreak/>
        <w:t xml:space="preserve">4.5 </w:t>
      </w:r>
      <w:r w:rsidR="00B6022D" w:rsidRPr="00B6022D">
        <w:t>Promowanie strategii niskoemisyjnych dla wszystkich rodzajów terytoriów, w szczególności dla obszarów miejskich, w tym wspieranie zrównoważonej multimodalnej mobilności miejskiej i działań adaptacyjnych mających oddziaływanie łagodzące na zmiany klimatu</w:t>
      </w:r>
    </w:p>
    <w:p w:rsidR="00424449" w:rsidRDefault="00424449" w:rsidP="00424449">
      <w:r>
        <w:t xml:space="preserve">W trakcie ewaluacji ex-ante programu, jako cel szczegółowy dla priorytetu inwestycyjnego 4.5 zaproponowano </w:t>
      </w:r>
      <w:r w:rsidRPr="007B1F5F">
        <w:rPr>
          <w:i/>
        </w:rPr>
        <w:t xml:space="preserve">poprawę jakości oferty transportu zbiorowego </w:t>
      </w:r>
      <w:r>
        <w:rPr>
          <w:i/>
        </w:rPr>
        <w:t xml:space="preserve">(publicznego) </w:t>
      </w:r>
      <w:r w:rsidRPr="007B1F5F">
        <w:rPr>
          <w:i/>
        </w:rPr>
        <w:t>w miastach województwa podkarpackiego</w:t>
      </w:r>
      <w:r>
        <w:t>. Tok rozumowania był podobny jak w przypadku PI 7.4: stopniowo obserwuje się odchodzenie mieszkańców od transportu publicznego na rzecz indywidualnych środków transportu, co przekłada się na negatywne konsekwencje m.in. dla jakości środowiska miejskiego (jakość powietrza, emisja CO2, korki itp.). Sytuacja ta wynika m.in. z tego, że oferta organizatorów transportu na terenach miejskich nie jest przez mieszkańców postrzegana jako atrakcyjna i to właśnie w tym obszarze spodziewane jest oddziaływanie programu. Znalazło to odzwierciedlenie we wskaźniku rezultatu strategicznego - tj. liczbie przewozów komunikacją miejską w województwie podkarpackim. Zarówno cel, jak i wskaźnik należy ocenić jako prawidłowe.</w:t>
      </w:r>
    </w:p>
    <w:p w:rsidR="00424449" w:rsidRPr="00C566BA" w:rsidRDefault="00424449" w:rsidP="00424449">
      <w:r w:rsidRPr="00C566BA">
        <w:t xml:space="preserve">Określony w programie zakres interwencji jest generalnie spójny z zaproponowanym celem szczegółowym. Zapisy są jednak na dużym poziomie ogólności, przez co trudno ocenić, na ile przewidziane w programie inwestycje będą wystarczające, aby podnieść liczbę przewozów komunikacją miejską. Zgodnie z przywołanymi wcześniej danymi, dynamika wskaźnika w województwie podkarpackim jest na tle kraju wyjątkowo niekorzystna - znaczny spadek przewozów odnotowano niezależnie od działań podejmowanych m.in w obecnym okresie programowania. Opracowując kryteria wyboru przedsięwzięć należy mieć na uwadze konieczność selekcji inwestycji, które faktycznie zwiększą konkurencyjność komunikacji miejskiej. </w:t>
      </w:r>
    </w:p>
    <w:p w:rsidR="00424449" w:rsidRPr="00C566BA" w:rsidRDefault="00424449" w:rsidP="00424449">
      <w:pPr>
        <w:pStyle w:val="Akapitzlist"/>
        <w:numPr>
          <w:ilvl w:val="0"/>
          <w:numId w:val="3"/>
        </w:numPr>
        <w:contextualSpacing w:val="0"/>
      </w:pPr>
      <w:r w:rsidRPr="00C566BA">
        <w:t xml:space="preserve">Zdecydowanie preferować należy zintegrowane pakiety przedsięwzięć, łączące w sobie infrastrukturę liniową, punktową oraz zakupy taborowe. Dobrym rozwiązaniem mogą być tutaj ZIT/RIT, należy jednak weryfikować propozycje zgłaszane przez poszczególne MOF pod kątem faktycznej kompleksowości i zintegrowania. Opisany w programie zakres inwestycji należy także dopasować do specyfiki mniejszych ośrodków miejskich - należy oczekiwać, że projekty transportowe dla Rzeszowa będą finansowane w dużym stopniu z programów krajowych. </w:t>
      </w:r>
    </w:p>
    <w:p w:rsidR="00424449" w:rsidRPr="00C566BA" w:rsidRDefault="00424449" w:rsidP="00424449">
      <w:pPr>
        <w:pStyle w:val="Akapitzlist"/>
        <w:numPr>
          <w:ilvl w:val="0"/>
          <w:numId w:val="3"/>
        </w:numPr>
        <w:contextualSpacing w:val="0"/>
      </w:pPr>
      <w:r w:rsidRPr="00C566BA">
        <w:t>Zakładając rozszerzenie planowanych działań o transport wykraczający poza granice obszarów miejskich, należy pamiętać o ograniczonych możliwościach miejskich spółek przewozowych - elementem interwencji nie będzie mogło być dotowanie samych przewozów. Z drugiej strony nie można zapominać o uwarunkowaniach rynkowych: przewozy o zasięgu ponadlokalnym są w już obecnie z powodzeniem realizowane przez przewoźników komercyjnych i nie należy tworzyć dla nich finansowanej ze środków publicznych alternatywy. Istnieją jednak części regionu, w których aktywność przewoźników komercyjnych nie jest wystarczająca.</w:t>
      </w:r>
    </w:p>
    <w:p w:rsidR="00424449" w:rsidRPr="00C566BA" w:rsidRDefault="00424449" w:rsidP="00424449">
      <w:pPr>
        <w:pStyle w:val="Akapitzlist"/>
        <w:numPr>
          <w:ilvl w:val="0"/>
          <w:numId w:val="3"/>
        </w:numPr>
        <w:contextualSpacing w:val="0"/>
      </w:pPr>
      <w:r w:rsidRPr="00C566BA">
        <w:t xml:space="preserve">Zgodnie z zapisami SRWP przewiduje się utworzenie Centrum Zarządzania Publicznym Transportem Zbiorowym. Formułując założenia RPO WP 2014-2020 warto zastanowić się nad stworzeniem instrumentów pozwalających tej instytucji realizować powierzone jej zadania - np. tworzenie rozwiązań integrujących działanie przewoźników komercyjnych </w:t>
      </w:r>
      <w:r w:rsidRPr="00C566BA">
        <w:lastRenderedPageBreak/>
        <w:t>i samorządowych, integrujących poszczególne podsystemy transportowe. W przeciwnym razie, zapisy  SRWP mogą nie doczekać się realizacji w praktyce.</w:t>
      </w:r>
    </w:p>
    <w:p w:rsidR="00424449" w:rsidRDefault="00424449" w:rsidP="00424449">
      <w:pPr>
        <w:pStyle w:val="Nagwek3"/>
      </w:pPr>
      <w:r>
        <w:t>Ocena wskaźników</w:t>
      </w:r>
    </w:p>
    <w:p w:rsidR="00424449" w:rsidRDefault="00424449" w:rsidP="00424449">
      <w:pPr>
        <w:pStyle w:val="Nagwek4"/>
      </w:pPr>
      <w:r>
        <w:t>Wskaźniki rezultatu strategicznego</w:t>
      </w:r>
    </w:p>
    <w:p w:rsidR="00424449" w:rsidRPr="002637F8" w:rsidRDefault="00424449" w:rsidP="00424449">
      <w:r w:rsidRPr="002637F8">
        <w:t xml:space="preserve">Zaproponowane wskaźniki rezultatu </w:t>
      </w:r>
      <w:r>
        <w:t>zostały dobrane poprawnie</w:t>
      </w:r>
      <w:r w:rsidRPr="002637F8">
        <w:t xml:space="preserve">. </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19</w:t>
      </w:r>
      <w:r w:rsidR="001B04AC">
        <w:rPr>
          <w:noProof/>
        </w:rPr>
        <w:fldChar w:fldCharType="end"/>
      </w:r>
      <w:r>
        <w:t>. Oś priorytetowa V – ocena wskaźników rezultatu</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644"/>
        <w:gridCol w:w="1418"/>
        <w:gridCol w:w="3224"/>
      </w:tblGrid>
      <w:tr w:rsidR="00424449" w:rsidRPr="00CA7FA3" w:rsidTr="00424449">
        <w:tc>
          <w:tcPr>
            <w:tcW w:w="4645"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wskaźnik rezultatu</w:t>
            </w:r>
          </w:p>
        </w:tc>
        <w:tc>
          <w:tcPr>
            <w:tcW w:w="1418"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priorytety inwestycyjne</w:t>
            </w:r>
          </w:p>
        </w:tc>
        <w:tc>
          <w:tcPr>
            <w:tcW w:w="3225"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Pr>
                <w:b/>
                <w:color w:val="FFFFFF" w:themeColor="background1"/>
                <w:sz w:val="20"/>
              </w:rPr>
              <w:t>ocena doboru wskaźnika</w:t>
            </w:r>
          </w:p>
        </w:tc>
      </w:tr>
      <w:tr w:rsidR="00424449" w:rsidTr="00424449">
        <w:tc>
          <w:tcPr>
            <w:tcW w:w="4645" w:type="dxa"/>
            <w:shd w:val="clear" w:color="auto" w:fill="E6E6E6" w:themeFill="background1" w:themeFillShade="E6"/>
            <w:vAlign w:val="center"/>
          </w:tcPr>
          <w:p w:rsidR="00424449" w:rsidRPr="006916BB" w:rsidRDefault="00424449" w:rsidP="00424449">
            <w:pPr>
              <w:spacing w:before="60" w:after="60"/>
              <w:jc w:val="left"/>
              <w:rPr>
                <w:i/>
                <w:sz w:val="20"/>
              </w:rPr>
            </w:pPr>
            <w:r w:rsidRPr="00AD56F7">
              <w:rPr>
                <w:i/>
                <w:sz w:val="20"/>
              </w:rPr>
              <w:t>Wskaźnik międzygałęz</w:t>
            </w:r>
            <w:r>
              <w:rPr>
                <w:i/>
                <w:sz w:val="20"/>
              </w:rPr>
              <w:t>iowej dostępności transportowej</w:t>
            </w:r>
          </w:p>
        </w:tc>
        <w:tc>
          <w:tcPr>
            <w:tcW w:w="1418" w:type="dxa"/>
            <w:vAlign w:val="center"/>
          </w:tcPr>
          <w:p w:rsidR="00424449" w:rsidRPr="00CA7FA3" w:rsidRDefault="00424449" w:rsidP="00424449">
            <w:pPr>
              <w:spacing w:before="120" w:after="120"/>
              <w:jc w:val="center"/>
              <w:rPr>
                <w:sz w:val="20"/>
              </w:rPr>
            </w:pPr>
            <w:r>
              <w:rPr>
                <w:sz w:val="20"/>
              </w:rPr>
              <w:t>7.2, 7.4</w:t>
            </w:r>
          </w:p>
        </w:tc>
        <w:tc>
          <w:tcPr>
            <w:tcW w:w="3225" w:type="dxa"/>
            <w:vAlign w:val="center"/>
          </w:tcPr>
          <w:p w:rsidR="00424449" w:rsidRPr="00CA7FA3" w:rsidRDefault="00424449" w:rsidP="00424449">
            <w:pPr>
              <w:spacing w:before="120" w:after="120"/>
              <w:jc w:val="center"/>
              <w:rPr>
                <w:sz w:val="20"/>
              </w:rPr>
            </w:pPr>
            <w:r>
              <w:rPr>
                <w:sz w:val="20"/>
                <w:szCs w:val="18"/>
              </w:rPr>
              <w:t>brak uwag</w:t>
            </w:r>
          </w:p>
        </w:tc>
      </w:tr>
      <w:tr w:rsidR="00424449" w:rsidTr="00424449">
        <w:tc>
          <w:tcPr>
            <w:tcW w:w="4645" w:type="dxa"/>
            <w:shd w:val="clear" w:color="auto" w:fill="E6E6E6" w:themeFill="background1" w:themeFillShade="E6"/>
            <w:vAlign w:val="center"/>
          </w:tcPr>
          <w:p w:rsidR="00424449" w:rsidRPr="00AD56F7" w:rsidRDefault="00424449" w:rsidP="00424449">
            <w:pPr>
              <w:spacing w:before="60" w:after="60"/>
              <w:jc w:val="left"/>
              <w:rPr>
                <w:i/>
                <w:sz w:val="20"/>
              </w:rPr>
            </w:pPr>
            <w:r>
              <w:rPr>
                <w:i/>
                <w:sz w:val="20"/>
              </w:rPr>
              <w:t>Dodatkowa zdolność przeładunkowa intermodalnych terminali przeładunkowych</w:t>
            </w:r>
          </w:p>
        </w:tc>
        <w:tc>
          <w:tcPr>
            <w:tcW w:w="1418" w:type="dxa"/>
            <w:vAlign w:val="center"/>
          </w:tcPr>
          <w:p w:rsidR="00424449" w:rsidRDefault="00424449" w:rsidP="00424449">
            <w:pPr>
              <w:spacing w:before="120" w:after="120"/>
              <w:jc w:val="center"/>
              <w:rPr>
                <w:sz w:val="20"/>
              </w:rPr>
            </w:pPr>
            <w:r>
              <w:rPr>
                <w:sz w:val="20"/>
              </w:rPr>
              <w:t>7.3</w:t>
            </w:r>
          </w:p>
        </w:tc>
        <w:tc>
          <w:tcPr>
            <w:tcW w:w="3225" w:type="dxa"/>
            <w:vAlign w:val="center"/>
          </w:tcPr>
          <w:p w:rsidR="00424449" w:rsidRDefault="00424449" w:rsidP="00424449">
            <w:pPr>
              <w:spacing w:before="120" w:after="120"/>
              <w:jc w:val="center"/>
              <w:rPr>
                <w:sz w:val="20"/>
                <w:szCs w:val="18"/>
              </w:rPr>
            </w:pPr>
            <w:r>
              <w:rPr>
                <w:sz w:val="20"/>
                <w:szCs w:val="18"/>
              </w:rPr>
              <w:t>brak uwag</w:t>
            </w:r>
          </w:p>
        </w:tc>
      </w:tr>
      <w:tr w:rsidR="00424449" w:rsidTr="00424449">
        <w:tc>
          <w:tcPr>
            <w:tcW w:w="4645" w:type="dxa"/>
            <w:shd w:val="clear" w:color="auto" w:fill="E6E6E6" w:themeFill="background1" w:themeFillShade="E6"/>
            <w:vAlign w:val="center"/>
          </w:tcPr>
          <w:p w:rsidR="00424449" w:rsidRPr="006916BB" w:rsidRDefault="00B6022D" w:rsidP="00424449">
            <w:pPr>
              <w:spacing w:before="60" w:after="60"/>
              <w:jc w:val="left"/>
              <w:rPr>
                <w:i/>
                <w:sz w:val="20"/>
              </w:rPr>
            </w:pPr>
            <w:r w:rsidRPr="00B6022D">
              <w:rPr>
                <w:i/>
                <w:sz w:val="20"/>
              </w:rPr>
              <w:t>Przewozy pasażerów środkami komunikacji miejskiej (województwo podkarpackie)</w:t>
            </w:r>
          </w:p>
        </w:tc>
        <w:tc>
          <w:tcPr>
            <w:tcW w:w="1418" w:type="dxa"/>
            <w:vAlign w:val="center"/>
          </w:tcPr>
          <w:p w:rsidR="00424449" w:rsidRPr="00CA7FA3" w:rsidRDefault="00424449" w:rsidP="00424449">
            <w:pPr>
              <w:spacing w:before="120" w:after="120"/>
              <w:jc w:val="center"/>
              <w:rPr>
                <w:sz w:val="20"/>
              </w:rPr>
            </w:pPr>
            <w:r>
              <w:rPr>
                <w:sz w:val="20"/>
              </w:rPr>
              <w:t>4.5</w:t>
            </w:r>
          </w:p>
        </w:tc>
        <w:tc>
          <w:tcPr>
            <w:tcW w:w="3225" w:type="dxa"/>
            <w:vAlign w:val="center"/>
          </w:tcPr>
          <w:p w:rsidR="00424449" w:rsidRPr="00CA7FA3" w:rsidRDefault="00424449" w:rsidP="00424449">
            <w:pPr>
              <w:spacing w:before="120" w:after="120"/>
              <w:jc w:val="center"/>
              <w:rPr>
                <w:sz w:val="20"/>
              </w:rPr>
            </w:pPr>
            <w:r>
              <w:rPr>
                <w:sz w:val="20"/>
                <w:szCs w:val="18"/>
              </w:rPr>
              <w:t>brak uwag</w:t>
            </w:r>
          </w:p>
        </w:tc>
      </w:tr>
    </w:tbl>
    <w:p w:rsidR="00424449" w:rsidRPr="003E2DA5" w:rsidRDefault="00424449" w:rsidP="00424449">
      <w:pPr>
        <w:ind w:left="360"/>
        <w:jc w:val="center"/>
        <w:rPr>
          <w:i/>
          <w:sz w:val="20"/>
        </w:rPr>
      </w:pPr>
      <w:r w:rsidRPr="003E2DA5">
        <w:rPr>
          <w:i/>
          <w:sz w:val="20"/>
        </w:rPr>
        <w:t>Źródło: Opracowanie własne</w:t>
      </w:r>
    </w:p>
    <w:p w:rsidR="00424449" w:rsidRDefault="00424449" w:rsidP="00424449">
      <w:pPr>
        <w:pStyle w:val="Nagwek4"/>
      </w:pPr>
      <w:r>
        <w:t>Wskaźniki typu output</w:t>
      </w:r>
    </w:p>
    <w:p w:rsidR="00424449" w:rsidRDefault="00424449" w:rsidP="00424449">
      <w:r w:rsidRPr="002637F8">
        <w:t>Wskaźniki typu output należy ocenić jako prawidłowe - ich liczba została znacznie zredukowana zgodnie ze zgłoszonymi wcześniej uwagami.</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20</w:t>
      </w:r>
      <w:r w:rsidR="001B04AC">
        <w:rPr>
          <w:noProof/>
        </w:rPr>
        <w:fldChar w:fldCharType="end"/>
      </w:r>
      <w:r>
        <w:t>. Oś priorytetowa V – ocena wskaźników typu output</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63"/>
        <w:gridCol w:w="3749"/>
        <w:gridCol w:w="2387"/>
        <w:gridCol w:w="2387"/>
      </w:tblGrid>
      <w:tr w:rsidR="00424449" w:rsidRPr="00BD0986" w:rsidTr="00424449">
        <w:trPr>
          <w:tblHeader/>
        </w:trPr>
        <w:tc>
          <w:tcPr>
            <w:tcW w:w="736"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p>
        </w:tc>
        <w:tc>
          <w:tcPr>
            <w:tcW w:w="3617"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r w:rsidRPr="00BD0986">
              <w:rPr>
                <w:b/>
                <w:color w:val="FFFFFF" w:themeColor="background1"/>
                <w:sz w:val="20"/>
                <w:szCs w:val="18"/>
              </w:rPr>
              <w:t xml:space="preserve">wskaźnik </w:t>
            </w:r>
          </w:p>
        </w:tc>
        <w:tc>
          <w:tcPr>
            <w:tcW w:w="2303" w:type="dxa"/>
            <w:shd w:val="clear" w:color="auto" w:fill="366092" w:themeFill="accent1"/>
            <w:vAlign w:val="center"/>
          </w:tcPr>
          <w:p w:rsidR="00424449" w:rsidRPr="00BD0986" w:rsidRDefault="00424449" w:rsidP="00424449">
            <w:pPr>
              <w:spacing w:before="60" w:after="60"/>
              <w:jc w:val="center"/>
              <w:rPr>
                <w:b/>
                <w:color w:val="FFFFFF" w:themeColor="background1"/>
                <w:sz w:val="20"/>
                <w:szCs w:val="18"/>
              </w:rPr>
            </w:pPr>
            <w:r>
              <w:rPr>
                <w:b/>
                <w:color w:val="FFFFFF" w:themeColor="background1"/>
                <w:sz w:val="20"/>
              </w:rPr>
              <w:t>ocena doboru wskaźnika</w:t>
            </w:r>
          </w:p>
        </w:tc>
        <w:tc>
          <w:tcPr>
            <w:tcW w:w="2303" w:type="dxa"/>
            <w:shd w:val="clear" w:color="auto" w:fill="366092" w:themeFill="accent1"/>
          </w:tcPr>
          <w:p w:rsidR="00424449" w:rsidRDefault="00424449" w:rsidP="00424449">
            <w:pPr>
              <w:spacing w:before="60" w:after="60"/>
              <w:jc w:val="center"/>
              <w:rPr>
                <w:b/>
                <w:color w:val="FFFFFF" w:themeColor="background1"/>
                <w:sz w:val="20"/>
              </w:rPr>
            </w:pPr>
            <w:r>
              <w:rPr>
                <w:b/>
                <w:color w:val="FFFFFF" w:themeColor="background1"/>
                <w:sz w:val="20"/>
              </w:rPr>
              <w:t>ocena oszacowania</w:t>
            </w:r>
          </w:p>
        </w:tc>
      </w:tr>
      <w:tr w:rsidR="00424449" w:rsidRPr="00BD0986" w:rsidTr="00424449">
        <w:tc>
          <w:tcPr>
            <w:tcW w:w="736" w:type="dxa"/>
            <w:vMerge w:val="restart"/>
            <w:shd w:val="clear" w:color="auto" w:fill="E6E6E6" w:themeFill="background1" w:themeFillShade="E6"/>
            <w:vAlign w:val="center"/>
          </w:tcPr>
          <w:p w:rsidR="00424449" w:rsidRPr="00BD0986" w:rsidRDefault="00424449" w:rsidP="00424449">
            <w:pPr>
              <w:spacing w:before="60" w:after="60"/>
              <w:jc w:val="left"/>
              <w:rPr>
                <w:b/>
                <w:sz w:val="20"/>
                <w:szCs w:val="18"/>
              </w:rPr>
            </w:pPr>
            <w:r>
              <w:rPr>
                <w:b/>
                <w:sz w:val="20"/>
                <w:szCs w:val="18"/>
              </w:rPr>
              <w:t>7.2</w:t>
            </w:r>
          </w:p>
        </w:tc>
        <w:tc>
          <w:tcPr>
            <w:tcW w:w="3617" w:type="dxa"/>
            <w:shd w:val="clear" w:color="auto" w:fill="E6E6E6" w:themeFill="background1" w:themeFillShade="E6"/>
            <w:vAlign w:val="center"/>
          </w:tcPr>
          <w:p w:rsidR="00424449" w:rsidRPr="00013D73" w:rsidRDefault="00424449" w:rsidP="00424449">
            <w:pPr>
              <w:spacing w:before="60" w:after="60"/>
              <w:jc w:val="left"/>
              <w:rPr>
                <w:i/>
                <w:sz w:val="20"/>
              </w:rPr>
            </w:pPr>
            <w:r>
              <w:rPr>
                <w:i/>
                <w:sz w:val="20"/>
              </w:rPr>
              <w:t>Całkowita długość nowych dróg</w:t>
            </w:r>
            <w:r w:rsidRPr="00013D73">
              <w:rPr>
                <w:i/>
                <w:sz w:val="20"/>
              </w:rPr>
              <w:t xml:space="preserve"> </w:t>
            </w:r>
          </w:p>
        </w:tc>
        <w:tc>
          <w:tcPr>
            <w:tcW w:w="2303" w:type="dxa"/>
            <w:vAlign w:val="center"/>
          </w:tcPr>
          <w:p w:rsidR="00424449" w:rsidRPr="00BD0986" w:rsidRDefault="00424449" w:rsidP="00424449">
            <w:pPr>
              <w:spacing w:before="60" w:after="60"/>
              <w:jc w:val="center"/>
              <w:rPr>
                <w:sz w:val="20"/>
                <w:szCs w:val="18"/>
              </w:rPr>
            </w:pPr>
            <w:r>
              <w:rPr>
                <w:sz w:val="20"/>
                <w:szCs w:val="18"/>
              </w:rPr>
              <w:t>brak uwag</w:t>
            </w:r>
          </w:p>
        </w:tc>
        <w:tc>
          <w:tcPr>
            <w:tcW w:w="2303" w:type="dxa"/>
            <w:vAlign w:val="center"/>
          </w:tcPr>
          <w:p w:rsidR="00424449" w:rsidRDefault="00424449" w:rsidP="00424449">
            <w:pPr>
              <w:spacing w:before="60" w:after="60"/>
              <w:jc w:val="center"/>
              <w:rPr>
                <w:sz w:val="20"/>
                <w:szCs w:val="18"/>
              </w:rPr>
            </w:pPr>
            <w:r>
              <w:rPr>
                <w:sz w:val="20"/>
                <w:szCs w:val="18"/>
              </w:rPr>
              <w:t>brak uwag</w:t>
            </w:r>
          </w:p>
        </w:tc>
      </w:tr>
      <w:tr w:rsidR="00424449" w:rsidRPr="00BD0986" w:rsidTr="00424449">
        <w:tc>
          <w:tcPr>
            <w:tcW w:w="736" w:type="dxa"/>
            <w:vMerge/>
            <w:shd w:val="clear" w:color="auto" w:fill="E6E6E6" w:themeFill="background1" w:themeFillShade="E6"/>
            <w:vAlign w:val="center"/>
          </w:tcPr>
          <w:p w:rsidR="00424449" w:rsidRPr="00BD0986" w:rsidRDefault="00424449" w:rsidP="00424449">
            <w:pPr>
              <w:spacing w:before="60" w:after="60"/>
              <w:jc w:val="left"/>
              <w:rPr>
                <w:b/>
                <w:sz w:val="20"/>
                <w:szCs w:val="18"/>
              </w:rPr>
            </w:pPr>
          </w:p>
        </w:tc>
        <w:tc>
          <w:tcPr>
            <w:tcW w:w="3617" w:type="dxa"/>
            <w:shd w:val="clear" w:color="auto" w:fill="E6E6E6" w:themeFill="background1" w:themeFillShade="E6"/>
            <w:vAlign w:val="center"/>
          </w:tcPr>
          <w:p w:rsidR="00424449" w:rsidRPr="00013D73" w:rsidRDefault="00424449" w:rsidP="00424449">
            <w:pPr>
              <w:spacing w:before="60" w:after="60"/>
              <w:jc w:val="left"/>
              <w:rPr>
                <w:i/>
                <w:sz w:val="20"/>
              </w:rPr>
            </w:pPr>
            <w:r w:rsidRPr="00013D73">
              <w:rPr>
                <w:i/>
                <w:sz w:val="20"/>
              </w:rPr>
              <w:t>Całkowita długość przebudowanych lub zmodernizowanych dróg</w:t>
            </w:r>
          </w:p>
        </w:tc>
        <w:tc>
          <w:tcPr>
            <w:tcW w:w="2303" w:type="dxa"/>
            <w:vAlign w:val="center"/>
          </w:tcPr>
          <w:p w:rsidR="00424449" w:rsidRPr="00BD0986" w:rsidRDefault="00424449" w:rsidP="00424449">
            <w:pPr>
              <w:spacing w:before="60" w:after="60"/>
              <w:jc w:val="center"/>
              <w:rPr>
                <w:sz w:val="20"/>
                <w:szCs w:val="18"/>
              </w:rPr>
            </w:pPr>
            <w:r>
              <w:rPr>
                <w:sz w:val="20"/>
                <w:szCs w:val="18"/>
              </w:rPr>
              <w:t>brak uwag</w:t>
            </w:r>
          </w:p>
        </w:tc>
        <w:tc>
          <w:tcPr>
            <w:tcW w:w="2303" w:type="dxa"/>
            <w:vAlign w:val="center"/>
          </w:tcPr>
          <w:p w:rsidR="00424449" w:rsidRDefault="00424449" w:rsidP="00424449">
            <w:pPr>
              <w:spacing w:before="60" w:after="60"/>
              <w:jc w:val="center"/>
              <w:rPr>
                <w:sz w:val="20"/>
                <w:szCs w:val="18"/>
              </w:rPr>
            </w:pPr>
            <w:r>
              <w:rPr>
                <w:sz w:val="20"/>
                <w:szCs w:val="18"/>
              </w:rPr>
              <w:t>brak uwag</w:t>
            </w:r>
          </w:p>
        </w:tc>
      </w:tr>
      <w:tr w:rsidR="00424449" w:rsidRPr="00BD0986" w:rsidTr="00424449">
        <w:tc>
          <w:tcPr>
            <w:tcW w:w="736" w:type="dxa"/>
            <w:shd w:val="clear" w:color="auto" w:fill="E6E6E6" w:themeFill="background1" w:themeFillShade="E6"/>
            <w:vAlign w:val="center"/>
          </w:tcPr>
          <w:p w:rsidR="00424449" w:rsidRDefault="00424449" w:rsidP="00424449">
            <w:pPr>
              <w:spacing w:before="60" w:after="60"/>
              <w:jc w:val="left"/>
              <w:rPr>
                <w:b/>
                <w:sz w:val="20"/>
                <w:szCs w:val="18"/>
              </w:rPr>
            </w:pPr>
            <w:r>
              <w:rPr>
                <w:b/>
                <w:sz w:val="20"/>
                <w:szCs w:val="18"/>
              </w:rPr>
              <w:t>7.3</w:t>
            </w:r>
          </w:p>
        </w:tc>
        <w:tc>
          <w:tcPr>
            <w:tcW w:w="3617" w:type="dxa"/>
            <w:shd w:val="clear" w:color="auto" w:fill="E6E6E6" w:themeFill="background1" w:themeFillShade="E6"/>
            <w:vAlign w:val="center"/>
          </w:tcPr>
          <w:p w:rsidR="00424449" w:rsidRPr="00013D73" w:rsidRDefault="00424449" w:rsidP="00424449">
            <w:pPr>
              <w:spacing w:before="60" w:after="60"/>
              <w:jc w:val="left"/>
              <w:rPr>
                <w:i/>
                <w:sz w:val="20"/>
              </w:rPr>
            </w:pPr>
            <w:r>
              <w:rPr>
                <w:i/>
                <w:sz w:val="20"/>
              </w:rPr>
              <w:t>Liczba wspartych intermodalnych terminali przeładunkowych</w:t>
            </w:r>
          </w:p>
        </w:tc>
        <w:tc>
          <w:tcPr>
            <w:tcW w:w="2303" w:type="dxa"/>
            <w:vAlign w:val="center"/>
          </w:tcPr>
          <w:p w:rsidR="00424449" w:rsidRPr="00BD0986" w:rsidRDefault="00424449" w:rsidP="00424449">
            <w:pPr>
              <w:spacing w:before="60" w:after="60"/>
              <w:jc w:val="center"/>
              <w:rPr>
                <w:sz w:val="20"/>
                <w:szCs w:val="18"/>
              </w:rPr>
            </w:pPr>
            <w:r>
              <w:rPr>
                <w:sz w:val="20"/>
                <w:szCs w:val="18"/>
              </w:rPr>
              <w:t>brak uwag</w:t>
            </w:r>
          </w:p>
        </w:tc>
        <w:tc>
          <w:tcPr>
            <w:tcW w:w="2303" w:type="dxa"/>
            <w:vAlign w:val="center"/>
          </w:tcPr>
          <w:p w:rsidR="00424449" w:rsidRDefault="00424449" w:rsidP="00424449">
            <w:pPr>
              <w:spacing w:before="60" w:after="60"/>
              <w:jc w:val="center"/>
              <w:rPr>
                <w:sz w:val="20"/>
                <w:szCs w:val="18"/>
              </w:rPr>
            </w:pPr>
            <w:r>
              <w:rPr>
                <w:sz w:val="20"/>
                <w:szCs w:val="18"/>
              </w:rPr>
              <w:t>brak uwag</w:t>
            </w:r>
          </w:p>
        </w:tc>
      </w:tr>
      <w:tr w:rsidR="00424449" w:rsidRPr="00BD0986" w:rsidTr="00424449">
        <w:tc>
          <w:tcPr>
            <w:tcW w:w="736" w:type="dxa"/>
            <w:vMerge w:val="restart"/>
            <w:shd w:val="clear" w:color="auto" w:fill="E6E6E6" w:themeFill="background1" w:themeFillShade="E6"/>
            <w:vAlign w:val="center"/>
          </w:tcPr>
          <w:p w:rsidR="00424449" w:rsidRPr="00BD0986" w:rsidRDefault="00424449" w:rsidP="00424449">
            <w:pPr>
              <w:spacing w:before="60" w:after="60"/>
              <w:jc w:val="left"/>
              <w:rPr>
                <w:b/>
                <w:sz w:val="20"/>
                <w:szCs w:val="18"/>
              </w:rPr>
            </w:pPr>
            <w:r>
              <w:rPr>
                <w:b/>
                <w:sz w:val="20"/>
                <w:szCs w:val="18"/>
              </w:rPr>
              <w:t>7.4</w:t>
            </w:r>
          </w:p>
        </w:tc>
        <w:tc>
          <w:tcPr>
            <w:tcW w:w="3617" w:type="dxa"/>
            <w:shd w:val="clear" w:color="auto" w:fill="E6E6E6" w:themeFill="background1" w:themeFillShade="E6"/>
            <w:vAlign w:val="center"/>
          </w:tcPr>
          <w:p w:rsidR="00424449" w:rsidRPr="00013D73" w:rsidRDefault="00424449" w:rsidP="00424449">
            <w:pPr>
              <w:spacing w:before="60" w:after="60"/>
              <w:jc w:val="left"/>
              <w:rPr>
                <w:i/>
                <w:sz w:val="20"/>
              </w:rPr>
            </w:pPr>
            <w:r w:rsidRPr="00013D73">
              <w:rPr>
                <w:i/>
                <w:sz w:val="20"/>
              </w:rPr>
              <w:t>Całkowita długość przebudowanych lub zmodernizowanych linii kolejowych</w:t>
            </w:r>
          </w:p>
        </w:tc>
        <w:tc>
          <w:tcPr>
            <w:tcW w:w="2303" w:type="dxa"/>
            <w:vAlign w:val="center"/>
          </w:tcPr>
          <w:p w:rsidR="00424449" w:rsidRPr="00BD0986" w:rsidRDefault="00424449" w:rsidP="00424449">
            <w:pPr>
              <w:jc w:val="center"/>
              <w:rPr>
                <w:sz w:val="20"/>
                <w:szCs w:val="18"/>
              </w:rPr>
            </w:pPr>
            <w:r>
              <w:rPr>
                <w:sz w:val="20"/>
                <w:szCs w:val="18"/>
              </w:rPr>
              <w:t>brak uwag</w:t>
            </w:r>
          </w:p>
        </w:tc>
        <w:tc>
          <w:tcPr>
            <w:tcW w:w="2303" w:type="dxa"/>
            <w:vAlign w:val="center"/>
          </w:tcPr>
          <w:p w:rsidR="00424449" w:rsidRDefault="00424449" w:rsidP="00424449">
            <w:pPr>
              <w:jc w:val="center"/>
              <w:rPr>
                <w:sz w:val="20"/>
                <w:szCs w:val="18"/>
              </w:rPr>
            </w:pPr>
            <w:r>
              <w:rPr>
                <w:sz w:val="20"/>
                <w:szCs w:val="18"/>
              </w:rPr>
              <w:t>brak uwag</w:t>
            </w:r>
          </w:p>
        </w:tc>
      </w:tr>
      <w:tr w:rsidR="00424449" w:rsidRPr="00BD0986" w:rsidTr="00424449">
        <w:tc>
          <w:tcPr>
            <w:tcW w:w="736" w:type="dxa"/>
            <w:vMerge/>
            <w:shd w:val="clear" w:color="auto" w:fill="E6E6E6" w:themeFill="background1" w:themeFillShade="E6"/>
            <w:vAlign w:val="center"/>
          </w:tcPr>
          <w:p w:rsidR="00424449" w:rsidRPr="00BD0986" w:rsidRDefault="00424449" w:rsidP="00424449">
            <w:pPr>
              <w:spacing w:before="60" w:after="60"/>
              <w:jc w:val="left"/>
              <w:rPr>
                <w:b/>
                <w:sz w:val="20"/>
                <w:szCs w:val="18"/>
              </w:rPr>
            </w:pPr>
          </w:p>
        </w:tc>
        <w:tc>
          <w:tcPr>
            <w:tcW w:w="3617" w:type="dxa"/>
            <w:shd w:val="clear" w:color="auto" w:fill="E6E6E6" w:themeFill="background1" w:themeFillShade="E6"/>
            <w:vAlign w:val="center"/>
          </w:tcPr>
          <w:p w:rsidR="00424449" w:rsidRPr="00013D73" w:rsidRDefault="00424449" w:rsidP="00424449">
            <w:pPr>
              <w:spacing w:before="60" w:after="60"/>
              <w:jc w:val="left"/>
              <w:rPr>
                <w:i/>
                <w:sz w:val="20"/>
              </w:rPr>
            </w:pPr>
            <w:r w:rsidRPr="00C566BA">
              <w:rPr>
                <w:i/>
                <w:sz w:val="20"/>
              </w:rPr>
              <w:t>Liczba zakupionych lub zmodernizowanych pojazdów kolejowych</w:t>
            </w:r>
          </w:p>
        </w:tc>
        <w:tc>
          <w:tcPr>
            <w:tcW w:w="2303" w:type="dxa"/>
            <w:vAlign w:val="center"/>
          </w:tcPr>
          <w:p w:rsidR="00424449" w:rsidRPr="00BD0986" w:rsidRDefault="00424449" w:rsidP="00424449">
            <w:pPr>
              <w:jc w:val="center"/>
              <w:rPr>
                <w:sz w:val="20"/>
                <w:szCs w:val="18"/>
              </w:rPr>
            </w:pPr>
            <w:r>
              <w:rPr>
                <w:sz w:val="20"/>
                <w:szCs w:val="18"/>
              </w:rPr>
              <w:t>brak uwag</w:t>
            </w:r>
          </w:p>
        </w:tc>
        <w:tc>
          <w:tcPr>
            <w:tcW w:w="2303" w:type="dxa"/>
            <w:vAlign w:val="center"/>
          </w:tcPr>
          <w:p w:rsidR="00424449" w:rsidRDefault="00424449" w:rsidP="00424449">
            <w:pPr>
              <w:jc w:val="center"/>
              <w:rPr>
                <w:sz w:val="20"/>
                <w:szCs w:val="18"/>
              </w:rPr>
            </w:pPr>
            <w:r>
              <w:rPr>
                <w:sz w:val="20"/>
                <w:szCs w:val="18"/>
              </w:rPr>
              <w:t>brak uwag</w:t>
            </w:r>
          </w:p>
        </w:tc>
      </w:tr>
      <w:tr w:rsidR="00424449" w:rsidRPr="00BD0986" w:rsidTr="00424449">
        <w:tc>
          <w:tcPr>
            <w:tcW w:w="736" w:type="dxa"/>
            <w:shd w:val="clear" w:color="auto" w:fill="E6E6E6" w:themeFill="background1" w:themeFillShade="E6"/>
            <w:vAlign w:val="center"/>
          </w:tcPr>
          <w:p w:rsidR="00424449" w:rsidRPr="00BD0986" w:rsidRDefault="00424449" w:rsidP="00424449">
            <w:pPr>
              <w:spacing w:before="60" w:after="60"/>
              <w:jc w:val="left"/>
              <w:rPr>
                <w:b/>
                <w:sz w:val="20"/>
                <w:szCs w:val="18"/>
              </w:rPr>
            </w:pPr>
            <w:r>
              <w:rPr>
                <w:b/>
                <w:sz w:val="20"/>
                <w:szCs w:val="18"/>
              </w:rPr>
              <w:t>4.5</w:t>
            </w:r>
          </w:p>
        </w:tc>
        <w:tc>
          <w:tcPr>
            <w:tcW w:w="3617" w:type="dxa"/>
            <w:shd w:val="clear" w:color="auto" w:fill="E6E6E6" w:themeFill="background1" w:themeFillShade="E6"/>
          </w:tcPr>
          <w:p w:rsidR="00424449" w:rsidRPr="00013D73" w:rsidRDefault="00424449" w:rsidP="00424449">
            <w:pPr>
              <w:spacing w:before="60" w:after="60"/>
              <w:jc w:val="left"/>
              <w:rPr>
                <w:i/>
                <w:sz w:val="20"/>
              </w:rPr>
            </w:pPr>
            <w:r w:rsidRPr="00013D73">
              <w:rPr>
                <w:i/>
                <w:sz w:val="20"/>
              </w:rPr>
              <w:t>Liczba zakupionych lub zmodernizowanych jednostek taboru pasażerskiego w publicznym transporcie zbiorowym komunikacji miejskiej</w:t>
            </w:r>
          </w:p>
        </w:tc>
        <w:tc>
          <w:tcPr>
            <w:tcW w:w="2303" w:type="dxa"/>
            <w:vAlign w:val="center"/>
          </w:tcPr>
          <w:p w:rsidR="00424449" w:rsidRPr="00BD0986" w:rsidRDefault="00424449" w:rsidP="00424449">
            <w:pPr>
              <w:spacing w:before="60" w:after="60"/>
              <w:jc w:val="center"/>
              <w:rPr>
                <w:sz w:val="20"/>
                <w:szCs w:val="18"/>
              </w:rPr>
            </w:pPr>
            <w:r w:rsidRPr="00BD0986">
              <w:rPr>
                <w:sz w:val="20"/>
                <w:szCs w:val="18"/>
              </w:rPr>
              <w:t>brak uwag</w:t>
            </w:r>
          </w:p>
        </w:tc>
        <w:tc>
          <w:tcPr>
            <w:tcW w:w="2303" w:type="dxa"/>
            <w:vAlign w:val="center"/>
          </w:tcPr>
          <w:p w:rsidR="00424449" w:rsidRPr="00BD0986" w:rsidRDefault="00424449" w:rsidP="00424449">
            <w:pPr>
              <w:spacing w:before="60" w:after="60"/>
              <w:jc w:val="center"/>
              <w:rPr>
                <w:sz w:val="20"/>
                <w:szCs w:val="18"/>
              </w:rPr>
            </w:pPr>
            <w:r>
              <w:rPr>
                <w:sz w:val="20"/>
                <w:szCs w:val="18"/>
              </w:rPr>
              <w:t>brak uwag</w:t>
            </w:r>
          </w:p>
        </w:tc>
      </w:tr>
    </w:tbl>
    <w:p w:rsidR="00424449" w:rsidRPr="00DB21F4" w:rsidRDefault="00424449" w:rsidP="00424449">
      <w:pPr>
        <w:pStyle w:val="rdo"/>
      </w:pPr>
      <w:r w:rsidRPr="003E2DA5">
        <w:t>Źródło: Opracowanie własne</w:t>
      </w:r>
    </w:p>
    <w:p w:rsidR="00B05F42" w:rsidRDefault="00B05F42">
      <w:pPr>
        <w:jc w:val="left"/>
        <w:rPr>
          <w:rFonts w:asciiTheme="majorHAnsi" w:eastAsiaTheme="majorEastAsia" w:hAnsiTheme="majorHAnsi" w:cstheme="majorBidi"/>
          <w:b/>
          <w:bCs/>
          <w:i/>
          <w:iCs/>
          <w:color w:val="366092" w:themeColor="accent1"/>
        </w:rPr>
      </w:pPr>
      <w:r>
        <w:br w:type="page"/>
      </w:r>
    </w:p>
    <w:p w:rsidR="00424449" w:rsidRDefault="00424449" w:rsidP="00424449">
      <w:pPr>
        <w:pStyle w:val="Nagwek4"/>
      </w:pPr>
      <w:r>
        <w:lastRenderedPageBreak/>
        <w:t>Wskaźniki wybrane do ram wykonania</w:t>
      </w:r>
    </w:p>
    <w:p w:rsidR="00424449" w:rsidRDefault="00424449" w:rsidP="00424449">
      <w:pPr>
        <w:pStyle w:val="Legenda"/>
        <w:keepNext/>
        <w:spacing w:after="120"/>
      </w:pPr>
      <w:r>
        <w:t xml:space="preserve">Tabela </w:t>
      </w:r>
      <w:r w:rsidR="001B04AC">
        <w:fldChar w:fldCharType="begin"/>
      </w:r>
      <w:r w:rsidR="008E1D74">
        <w:instrText xml:space="preserve"> SEQ Tabela \* ARABIC </w:instrText>
      </w:r>
      <w:r w:rsidR="001B04AC">
        <w:fldChar w:fldCharType="separate"/>
      </w:r>
      <w:r w:rsidR="00832320">
        <w:rPr>
          <w:noProof/>
        </w:rPr>
        <w:t>21</w:t>
      </w:r>
      <w:r w:rsidR="001B04AC">
        <w:rPr>
          <w:noProof/>
        </w:rPr>
        <w:fldChar w:fldCharType="end"/>
      </w:r>
      <w:r>
        <w:t>. Oś priorytetowa V – ocena wskaźników wybranych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5515"/>
        <w:gridCol w:w="3771"/>
      </w:tblGrid>
      <w:tr w:rsidR="00424449" w:rsidRPr="00CA7FA3" w:rsidTr="00424449">
        <w:trPr>
          <w:tblHeader/>
        </w:trPr>
        <w:tc>
          <w:tcPr>
            <w:tcW w:w="5515"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sidRPr="00CA7FA3">
              <w:rPr>
                <w:b/>
                <w:color w:val="FFFFFF" w:themeColor="background1"/>
                <w:sz w:val="20"/>
              </w:rPr>
              <w:t>wskaźnik rezultatu</w:t>
            </w:r>
          </w:p>
        </w:tc>
        <w:tc>
          <w:tcPr>
            <w:tcW w:w="3771" w:type="dxa"/>
            <w:shd w:val="clear" w:color="auto" w:fill="366092" w:themeFill="accent1"/>
            <w:vAlign w:val="center"/>
          </w:tcPr>
          <w:p w:rsidR="00424449" w:rsidRPr="00CA7FA3" w:rsidRDefault="00424449" w:rsidP="00424449">
            <w:pPr>
              <w:spacing w:before="120" w:after="120"/>
              <w:jc w:val="center"/>
              <w:rPr>
                <w:b/>
                <w:color w:val="FFFFFF" w:themeColor="background1"/>
                <w:sz w:val="20"/>
              </w:rPr>
            </w:pPr>
            <w:r>
              <w:rPr>
                <w:b/>
                <w:color w:val="FFFFFF" w:themeColor="background1"/>
                <w:sz w:val="20"/>
              </w:rPr>
              <w:t>ocena doboru wskaźnika</w:t>
            </w:r>
          </w:p>
        </w:tc>
      </w:tr>
      <w:tr w:rsidR="00424449" w:rsidTr="00424449">
        <w:trPr>
          <w:trHeight w:val="480"/>
        </w:trPr>
        <w:tc>
          <w:tcPr>
            <w:tcW w:w="5515" w:type="dxa"/>
            <w:shd w:val="clear" w:color="auto" w:fill="F2F2F2" w:themeFill="background1" w:themeFillShade="F2"/>
            <w:vAlign w:val="center"/>
          </w:tcPr>
          <w:p w:rsidR="00424449" w:rsidRPr="00D01DB3" w:rsidRDefault="00D262A4" w:rsidP="00424449">
            <w:pPr>
              <w:spacing w:before="60" w:after="60"/>
              <w:jc w:val="left"/>
              <w:rPr>
                <w:i/>
                <w:color w:val="282828"/>
                <w:sz w:val="20"/>
              </w:rPr>
            </w:pPr>
            <w:r>
              <w:rPr>
                <w:i/>
                <w:color w:val="282828"/>
                <w:sz w:val="20"/>
              </w:rPr>
              <w:t>Całkowita długość nowych dróg</w:t>
            </w:r>
          </w:p>
        </w:tc>
        <w:tc>
          <w:tcPr>
            <w:tcW w:w="3771" w:type="dxa"/>
            <w:vAlign w:val="center"/>
          </w:tcPr>
          <w:p w:rsidR="00424449" w:rsidRDefault="00424449" w:rsidP="00424449">
            <w:pPr>
              <w:spacing w:before="120" w:after="120"/>
              <w:jc w:val="center"/>
              <w:rPr>
                <w:sz w:val="20"/>
              </w:rPr>
            </w:pPr>
            <w:r>
              <w:rPr>
                <w:sz w:val="20"/>
              </w:rPr>
              <w:t>brak uwag</w:t>
            </w:r>
          </w:p>
        </w:tc>
      </w:tr>
      <w:tr w:rsidR="00424449" w:rsidTr="00424449">
        <w:tc>
          <w:tcPr>
            <w:tcW w:w="5515" w:type="dxa"/>
            <w:shd w:val="clear" w:color="auto" w:fill="F2F2F2" w:themeFill="background1" w:themeFillShade="F2"/>
            <w:vAlign w:val="center"/>
          </w:tcPr>
          <w:p w:rsidR="00424449" w:rsidRPr="00D06997" w:rsidRDefault="00424449" w:rsidP="00424449">
            <w:pPr>
              <w:spacing w:before="60" w:after="60"/>
              <w:jc w:val="left"/>
              <w:rPr>
                <w:i/>
                <w:color w:val="282828"/>
                <w:sz w:val="20"/>
              </w:rPr>
            </w:pPr>
            <w:r w:rsidRPr="00013D73">
              <w:rPr>
                <w:i/>
                <w:sz w:val="20"/>
              </w:rPr>
              <w:t>Całkowita długość przebudowanych lub zmodernizowanych dróg</w:t>
            </w:r>
          </w:p>
        </w:tc>
        <w:tc>
          <w:tcPr>
            <w:tcW w:w="3771" w:type="dxa"/>
            <w:vAlign w:val="center"/>
          </w:tcPr>
          <w:p w:rsidR="00424449" w:rsidRDefault="00424449" w:rsidP="00424449">
            <w:pPr>
              <w:spacing w:before="120" w:after="120"/>
              <w:jc w:val="center"/>
              <w:rPr>
                <w:sz w:val="20"/>
              </w:rPr>
            </w:pPr>
            <w:r>
              <w:rPr>
                <w:sz w:val="20"/>
              </w:rPr>
              <w:t>brak uwag</w:t>
            </w:r>
          </w:p>
        </w:tc>
      </w:tr>
      <w:tr w:rsidR="00424449" w:rsidTr="00424449">
        <w:tc>
          <w:tcPr>
            <w:tcW w:w="5515" w:type="dxa"/>
            <w:shd w:val="clear" w:color="auto" w:fill="F2F2F2" w:themeFill="background1" w:themeFillShade="F2"/>
            <w:vAlign w:val="center"/>
          </w:tcPr>
          <w:p w:rsidR="00424449" w:rsidRPr="00D06997" w:rsidRDefault="00424449" w:rsidP="00424449">
            <w:pPr>
              <w:spacing w:before="60" w:after="60"/>
              <w:jc w:val="left"/>
              <w:rPr>
                <w:i/>
                <w:color w:val="282828"/>
                <w:sz w:val="20"/>
              </w:rPr>
            </w:pPr>
            <w:r w:rsidRPr="00013D73">
              <w:rPr>
                <w:i/>
                <w:sz w:val="20"/>
              </w:rPr>
              <w:t>Liczba zakupionych lub zmodernizowanych jednostek taboru pasażerskiego w publicznym transporcie zbiorowym komunikacji miejskiej</w:t>
            </w:r>
          </w:p>
        </w:tc>
        <w:tc>
          <w:tcPr>
            <w:tcW w:w="3771" w:type="dxa"/>
            <w:vAlign w:val="center"/>
          </w:tcPr>
          <w:p w:rsidR="00424449" w:rsidRDefault="00424449" w:rsidP="00424449">
            <w:pPr>
              <w:spacing w:before="120" w:after="120"/>
              <w:jc w:val="center"/>
              <w:rPr>
                <w:sz w:val="20"/>
              </w:rPr>
            </w:pPr>
            <w:r>
              <w:rPr>
                <w:sz w:val="20"/>
              </w:rPr>
              <w:t>brak uwag</w:t>
            </w:r>
          </w:p>
        </w:tc>
      </w:tr>
      <w:tr w:rsidR="00592487" w:rsidTr="00424449">
        <w:tc>
          <w:tcPr>
            <w:tcW w:w="5515" w:type="dxa"/>
            <w:shd w:val="clear" w:color="auto" w:fill="F2F2F2" w:themeFill="background1" w:themeFillShade="F2"/>
            <w:vAlign w:val="center"/>
          </w:tcPr>
          <w:p w:rsidR="00592487" w:rsidRPr="00013D73" w:rsidRDefault="00EE15AA" w:rsidP="00424449">
            <w:pPr>
              <w:spacing w:before="60" w:after="60"/>
              <w:jc w:val="left"/>
              <w:rPr>
                <w:i/>
                <w:sz w:val="20"/>
              </w:rPr>
            </w:pPr>
            <w:r>
              <w:rPr>
                <w:i/>
                <w:sz w:val="20"/>
              </w:rPr>
              <w:t>Całkowita</w:t>
            </w:r>
            <w:r w:rsidR="00592487">
              <w:rPr>
                <w:i/>
                <w:sz w:val="20"/>
              </w:rPr>
              <w:t xml:space="preserve"> kwota wydatków kwalifikowa</w:t>
            </w:r>
            <w:r>
              <w:rPr>
                <w:i/>
                <w:sz w:val="20"/>
              </w:rPr>
              <w:t>l</w:t>
            </w:r>
            <w:r w:rsidR="00592487">
              <w:rPr>
                <w:i/>
                <w:sz w:val="20"/>
              </w:rPr>
              <w:t>nych</w:t>
            </w:r>
          </w:p>
        </w:tc>
        <w:tc>
          <w:tcPr>
            <w:tcW w:w="3771" w:type="dxa"/>
            <w:vAlign w:val="center"/>
          </w:tcPr>
          <w:p w:rsidR="00592487" w:rsidRDefault="00A329D8" w:rsidP="00424449">
            <w:pPr>
              <w:spacing w:before="120" w:after="120"/>
              <w:jc w:val="center"/>
              <w:rPr>
                <w:sz w:val="20"/>
              </w:rPr>
            </w:pPr>
            <w:r>
              <w:rPr>
                <w:sz w:val="20"/>
              </w:rPr>
              <w:t>brak uwag</w:t>
            </w:r>
          </w:p>
        </w:tc>
      </w:tr>
    </w:tbl>
    <w:p w:rsidR="00424449" w:rsidRDefault="00424449" w:rsidP="00424449">
      <w:pPr>
        <w:pStyle w:val="rdo"/>
      </w:pPr>
      <w:r w:rsidRPr="003E2DA5">
        <w:t>Źródło: Opracowanie własne</w:t>
      </w:r>
    </w:p>
    <w:p w:rsidR="00FD5DD2" w:rsidRDefault="00FD5DD2" w:rsidP="00FD5DD2">
      <w:pPr>
        <w:pStyle w:val="Nagwek3"/>
      </w:pPr>
      <w:r>
        <w:t>Wkład w realizację celów dokumentów strategicznych i celów polityk horyzontalnych</w:t>
      </w:r>
    </w:p>
    <w:p w:rsidR="00FD5DD2" w:rsidRDefault="00FD5DD2" w:rsidP="00FD5DD2">
      <w:pPr>
        <w:pStyle w:val="Nagwek4"/>
      </w:pPr>
      <w:r>
        <w:t>Cele strategiczne na poziomie europejskim i polityki horyzontalne</w:t>
      </w:r>
    </w:p>
    <w:p w:rsidR="00FD5DD2" w:rsidRPr="003B1CC6" w:rsidRDefault="00FD5DD2" w:rsidP="00FD5DD2">
      <w:r>
        <w:t xml:space="preserve">Zakres interwencji zaplanowany w osi priorytetowej V RPO WP 2014-2020 wpisuje się w cele rozwojowe wyznaczone w strategii </w:t>
      </w:r>
      <w:r w:rsidRPr="005229BA">
        <w:rPr>
          <w:i/>
        </w:rPr>
        <w:t>Europa 2020</w:t>
      </w:r>
      <w:r>
        <w:t xml:space="preserve">, w szczególności w obszarze zagadnień związanych z inicjatywą przewodnią </w:t>
      </w:r>
      <w:r>
        <w:rPr>
          <w:i/>
        </w:rPr>
        <w:t>Europa efektywnie korzystająca z zasobów</w:t>
      </w:r>
      <w:r>
        <w:t xml:space="preserve">. Należy oczekiwać, że projekty wspierane w priorytetach inwestycyjnych 4.5, 7.3 oraz 7.4 przyczynią się do zmiany struktury gałęziowej transportu, a tym samym przybliżą osiągnięcie rezultatów związanych z gospodarką niskoemisyjną (zmniejszenie emisji gazów cieplarnianych w transporcie) oraz efektywnością energetyczną (zmniejszenie zużycia energii pierwotnej w transporcie). W ten sam sposób oś priorytetowa V wpisuje się również w politykę horyzontalna zrównoważonego rozwoju. Należy także wspomnieć o szerszym oddziaływaniu gospodarczym interwencji w obszarze transportu – dzięki określonym w programie kryteriom wyboru inwestycji, RPO WP 2014-2020 ma szanse wpłynąć pozytywnie na regionalny rynek pracy (m.in. poprawiając mobilność pracowników oraz zwiększając atrakcyjność inwestycyjna regionu), tym samym realizując cele strategii </w:t>
      </w:r>
      <w:r w:rsidRPr="005229BA">
        <w:rPr>
          <w:i/>
        </w:rPr>
        <w:t>Europa 2020</w:t>
      </w:r>
      <w:r>
        <w:t xml:space="preserve"> w zakresie zatrudnienia oraz ograniczania ubóstwa i wykluczenia społecznego. </w:t>
      </w:r>
    </w:p>
    <w:p w:rsidR="00FD5DD2" w:rsidRDefault="00FD5DD2" w:rsidP="00FD5DD2">
      <w:pPr>
        <w:pStyle w:val="Nagwek4"/>
      </w:pPr>
      <w:r>
        <w:t>Cele strategiczne na poziomie krajowym</w:t>
      </w:r>
    </w:p>
    <w:p w:rsidR="00FD5DD2" w:rsidRPr="003B1CC6" w:rsidRDefault="00FD5DD2" w:rsidP="00FD5DD2">
      <w:r>
        <w:t xml:space="preserve">Założenia RPO WP 2014-2020 odpowiadają wyzwaniom i celom wyznaczonym w obowiązujących dokumentach strategicznych na poziomi krajowym. W szczególności wpisują się w założenia </w:t>
      </w:r>
      <w:r w:rsidRPr="005229BA">
        <w:rPr>
          <w:i/>
        </w:rPr>
        <w:t>Strategii Rozwoju Kraju 2020</w:t>
      </w:r>
      <w:r>
        <w:t xml:space="preserve"> oraz </w:t>
      </w:r>
      <w:r w:rsidRPr="005229BA">
        <w:rPr>
          <w:i/>
        </w:rPr>
        <w:t>Długookresowej Strategii Rozwoju Kraju</w:t>
      </w:r>
      <w:r>
        <w:t xml:space="preserve"> w zakresie sprawnej budowy i modernizacji zintegrowanego systemu transportowego. W nieco szerszym kontekście, działania przewidziane w programie będą ostatecznie prowadzić do realizacji celu głównego DSRK związanego z konkurencyjną gospodarką oraz stymulowaniem wzrostu gospodarczego. Wszystkie priorytety inwestycyjne RPO WP 2014-2020 są także ściśle powiązane z oczekiwanymi rezultatami </w:t>
      </w:r>
      <w:r w:rsidRPr="00AA5BCC">
        <w:rPr>
          <w:i/>
        </w:rPr>
        <w:t>Strategii Rozwoju Transportu do 2020 roku (z perspektywą do 2030 r.)</w:t>
      </w:r>
      <w:r>
        <w:t xml:space="preserve">, w której sformułowano oczekiwania związane z budową nowoczesnej, spójnej sieci transportowej oraz zmniejszeniem negatywnego oddziaływania transportu na środowisko, ze szczególnym uwzględnieniem obszarów miejskich. </w:t>
      </w:r>
    </w:p>
    <w:p w:rsidR="00FD5DD2" w:rsidRDefault="00FD5DD2" w:rsidP="00FD5DD2">
      <w:pPr>
        <w:pStyle w:val="Nagwek4"/>
      </w:pPr>
      <w:r>
        <w:lastRenderedPageBreak/>
        <w:t>Cele strategiczne województwa podkarpackiego</w:t>
      </w:r>
    </w:p>
    <w:p w:rsidR="00FD5DD2" w:rsidRDefault="00FD5DD2" w:rsidP="00FD5DD2">
      <w:r>
        <w:t xml:space="preserve">Interwencja RPO WP 2014-2020 ukierunkowana na sektor transportu pokrywa się również z najważniejszymi rozstrzygnięciami </w:t>
      </w:r>
      <w:r w:rsidRPr="005229BA">
        <w:rPr>
          <w:i/>
        </w:rPr>
        <w:t>Strategii Rozwoju Województwa – Podkarpackie 2020</w:t>
      </w:r>
      <w:r>
        <w:t xml:space="preserve">, której celem (3.1) jest </w:t>
      </w:r>
      <w:r>
        <w:rPr>
          <w:i/>
        </w:rPr>
        <w:t xml:space="preserve">poprawa zewnętrznej i wewnętrznej dostępności przestrzennej województwa ze szczególnym uwzględnieniem Rzeszowa jako ponadregionalnego ośrodka wzrostu. </w:t>
      </w:r>
      <w:r>
        <w:t xml:space="preserve">W związku z koncentracja RPO WP 2014-2020 na przedsięwzięciach związanych z dostępnością wewnętrzną (na dostępność zewnętrzną oddziaływać będzie program krajowy), działania programu będę w szczególności wpisywać się w kierunek działań 3.1.2 (rozwój infrastruktury kolejowej) oraz 3.1.3 (rozwój powiązań drogowych pomiędzy miastami powiatowymi oraz Rzeszowem). </w:t>
      </w:r>
    </w:p>
    <w:p w:rsidR="00424449" w:rsidRDefault="00424449">
      <w:pPr>
        <w:jc w:val="left"/>
      </w:pPr>
      <w:r>
        <w:br w:type="page"/>
      </w:r>
    </w:p>
    <w:p w:rsidR="00424449" w:rsidRPr="007B6696" w:rsidRDefault="00424449" w:rsidP="00BC2878">
      <w:pPr>
        <w:pStyle w:val="Nagwek2"/>
        <w:rPr>
          <w:rFonts w:asciiTheme="minorHAnsi" w:hAnsiTheme="minorHAnsi"/>
          <w:i/>
        </w:rPr>
      </w:pPr>
      <w:bookmarkStart w:id="19" w:name="_Toc375208057"/>
      <w:bookmarkStart w:id="20" w:name="_Toc384914407"/>
      <w:r w:rsidRPr="007B6696">
        <w:rPr>
          <w:rFonts w:asciiTheme="minorHAnsi" w:hAnsiTheme="minorHAnsi"/>
        </w:rPr>
        <w:lastRenderedPageBreak/>
        <w:t>Oś priorytetowa VI.</w:t>
      </w:r>
      <w:r w:rsidRPr="007B6696">
        <w:rPr>
          <w:rFonts w:asciiTheme="minorHAnsi" w:hAnsiTheme="minorHAnsi"/>
          <w:i/>
        </w:rPr>
        <w:t xml:space="preserve"> </w:t>
      </w:r>
      <w:bookmarkEnd w:id="19"/>
      <w:r>
        <w:rPr>
          <w:rFonts w:asciiTheme="minorHAnsi" w:hAnsiTheme="minorHAnsi"/>
          <w:i/>
        </w:rPr>
        <w:t>Spójność przestrzenna i społeczna</w:t>
      </w:r>
      <w:bookmarkEnd w:id="20"/>
    </w:p>
    <w:p w:rsidR="00424449" w:rsidRPr="007B6696" w:rsidRDefault="00424449" w:rsidP="00BC2878">
      <w:pPr>
        <w:pStyle w:val="Nagwek3"/>
        <w:rPr>
          <w:rFonts w:asciiTheme="minorHAnsi" w:hAnsiTheme="minorHAnsi"/>
        </w:rPr>
      </w:pPr>
      <w:r w:rsidRPr="007B6696">
        <w:rPr>
          <w:rFonts w:asciiTheme="minorHAnsi" w:hAnsiTheme="minorHAnsi"/>
        </w:rPr>
        <w:t>Ocena przesłanek interwencji</w:t>
      </w:r>
    </w:p>
    <w:p w:rsidR="00424449" w:rsidRDefault="00424449" w:rsidP="00424449">
      <w:pPr>
        <w:rPr>
          <w:rFonts w:eastAsia="Calibri"/>
        </w:rPr>
      </w:pPr>
      <w:r>
        <w:rPr>
          <w:rFonts w:eastAsia="Calibri"/>
        </w:rPr>
        <w:t xml:space="preserve">Oś priorytetowa dotyczy kilku obszarów: rynku pracy, wykluczenia społecznego i edukacji. Dlatego też uzasadnienie dla tej osi jest zawarte w ramach diagnoz dla każdego z obszarów. </w:t>
      </w:r>
      <w:r w:rsidR="00A527C6">
        <w:rPr>
          <w:rFonts w:eastAsia="Calibri"/>
        </w:rPr>
        <w:t>Diagnoza, w </w:t>
      </w:r>
      <w:r>
        <w:rPr>
          <w:rFonts w:eastAsia="Calibri"/>
        </w:rPr>
        <w:t>odniesieniu do usług społecznych i zdrowotnych, w sposób trafny przedstawia główne wyzwania stojące przed województwem podkarpackim. W przypadku zdrowia opisano sytuację epidemiologiczną. Wskazano 5 głównych grup zachorowań, które są głównymi przyczynami zgonów. Trafność zidentyfikowanych problemów potwierdzają również dane dotyczące orzeczeń o</w:t>
      </w:r>
      <w:r w:rsidR="002F7C58">
        <w:rPr>
          <w:rFonts w:eastAsia="Calibri"/>
        </w:rPr>
        <w:t> </w:t>
      </w:r>
      <w:r>
        <w:rPr>
          <w:rFonts w:eastAsia="Calibri"/>
        </w:rPr>
        <w:t xml:space="preserve"> niepełnosprawności, zgodnie z którymi wśród 7 najczęstszych przyczyn orzeczenia o niezdolności do pracy znajdują się: choroby układu krążenia, nowotwory, zaburzenia psychiczne, </w:t>
      </w:r>
      <w:r w:rsidRPr="00984A0C">
        <w:rPr>
          <w:rFonts w:eastAsia="Calibri"/>
        </w:rPr>
        <w:t>choroby układu kostno</w:t>
      </w:r>
      <w:r>
        <w:rPr>
          <w:rFonts w:eastAsia="Calibri"/>
        </w:rPr>
        <w:t>-</w:t>
      </w:r>
      <w:r w:rsidRPr="00984A0C">
        <w:rPr>
          <w:rFonts w:eastAsia="Calibri"/>
        </w:rPr>
        <w:t>stawowego</w:t>
      </w:r>
      <w:r>
        <w:rPr>
          <w:rFonts w:eastAsia="Calibri"/>
        </w:rPr>
        <w:t xml:space="preserve">, choroby układu oddechowego, </w:t>
      </w:r>
      <w:r w:rsidRPr="00984A0C">
        <w:rPr>
          <w:rFonts w:eastAsia="Calibri"/>
        </w:rPr>
        <w:t>urazy kości, stawów i tkanek miękkich</w:t>
      </w:r>
      <w:r>
        <w:rPr>
          <w:rFonts w:eastAsia="Calibri"/>
        </w:rPr>
        <w:t xml:space="preserve"> (co można wiązać z wypadkami).</w:t>
      </w:r>
      <w:r>
        <w:rPr>
          <w:rStyle w:val="Odwoanieprzypisudolnego"/>
          <w:rFonts w:eastAsia="Calibri"/>
        </w:rPr>
        <w:footnoteReference w:id="51"/>
      </w:r>
      <w:r>
        <w:rPr>
          <w:rFonts w:eastAsia="Calibri"/>
        </w:rPr>
        <w:t xml:space="preserve"> </w:t>
      </w:r>
    </w:p>
    <w:p w:rsidR="00424449" w:rsidRDefault="00424449" w:rsidP="00424449">
      <w:pPr>
        <w:rPr>
          <w:rFonts w:eastAsia="Calibri"/>
        </w:rPr>
      </w:pPr>
      <w:r>
        <w:rPr>
          <w:rFonts w:eastAsia="Calibri"/>
        </w:rPr>
        <w:t xml:space="preserve">W diagnozie zawarto również stosunkowo szczegółowe informacje na temat dostępności usług społecznych. Pozytywnie należy ocenić dokładną diagnozę deficytów, w szczególnie w zakresie dostępu do oferty wsparcia dziennego dla dzieci i młodzieży czy też szerzej, wsparcia dziennego dla osób zagrożonych wykluczeniem społecznym, a także potrzeby w zakresie środowiskowych usług opiekuńczych kierowanych do osób starszych. Wykazano również potrzeby w zakresie wczesnej identyfikacji i rehabilitacji dzieci niepełnosprawnych. </w:t>
      </w:r>
    </w:p>
    <w:p w:rsidR="00424449" w:rsidRDefault="00424449" w:rsidP="00424449">
      <w:pPr>
        <w:rPr>
          <w:rFonts w:eastAsia="Calibri"/>
        </w:rPr>
      </w:pPr>
      <w:r>
        <w:rPr>
          <w:rFonts w:eastAsia="Calibri"/>
        </w:rPr>
        <w:t>Analizując zasadność rewitalizacji warto odwołać się do dostępnej literatury, która potwierdza tworzenie się enklaw biedy na terenach miejskich. Przykładem może być badanie dotyczące Łodzi, zgodnie z którym w ścisłym centrum tego miast istnieje kilkanaście enklaw biedy, a sytuacja w tym zakresie przez ostatnie 10 lat nie uległa zmianie. Choć sytuacja Łodzi jest oczywiści specyficzna, to analiza mechanizmów powstawania i trwałości tego typu zjawisk może mieć również odniesienie do województwa podkarpackiego.</w:t>
      </w:r>
      <w:r>
        <w:rPr>
          <w:rStyle w:val="Odwoanieprzypisudolnego"/>
          <w:rFonts w:eastAsia="Calibri"/>
        </w:rPr>
        <w:footnoteReference w:id="52"/>
      </w:r>
      <w:r>
        <w:rPr>
          <w:rFonts w:eastAsia="Calibri"/>
        </w:rPr>
        <w:t xml:space="preserve"> Analiza potrzeb w zakresie rewitalizacji powinna uwzględniać również ocenę efektów dotychczasowego wsparcia. Jak wynika z badania ewaluacyjnego, przeprowadzonego w województwie podkarpackim, dotychczas realizowane projekty rewitalizacyjne nie miały charakteru precyzyjnej, silnej, ograniczonej terytorialnie, wielopłaszczyznowej interwencji. W efekcie w wielu przypadkach nie udało się osiągnąć głównego celu, jakim było przełamanie niekorzystnych uwarunkowań rozwoju danego obszaru.</w:t>
      </w:r>
      <w:r>
        <w:rPr>
          <w:rStyle w:val="Odwoanieprzypisudolnego"/>
          <w:rFonts w:eastAsia="Calibri"/>
        </w:rPr>
        <w:footnoteReference w:id="53"/>
      </w:r>
      <w:r>
        <w:rPr>
          <w:rFonts w:eastAsia="Calibri"/>
        </w:rPr>
        <w:t xml:space="preserve"> Wnioski te stały się podstawą dla projektowania interwencji w nowej perspektywie. </w:t>
      </w:r>
    </w:p>
    <w:p w:rsidR="00424449" w:rsidRPr="00F34C9E" w:rsidRDefault="00424449" w:rsidP="00BC2878">
      <w:r>
        <w:rPr>
          <w:rFonts w:eastAsia="Calibri"/>
        </w:rPr>
        <w:t>W obszarze edukacji wykazano przekonująco potrzebę interwencji. Jasno wykazano deficyt w</w:t>
      </w:r>
      <w:r w:rsidR="002F7C58">
        <w:rPr>
          <w:rFonts w:eastAsia="Calibri"/>
        </w:rPr>
        <w:t> </w:t>
      </w:r>
      <w:r>
        <w:rPr>
          <w:rFonts w:eastAsia="Calibri"/>
        </w:rPr>
        <w:t xml:space="preserve"> obszarze opieki przedszkolnej. Wskazano również, powołując się na prowadzone badania, na potrzebę prowadzenia działań inwestycyjnych w odniesieniu do szkół zawodowych. Istotne jest szczególnie wzmocnienie wyposażenia szkół w sprzęt niezbędny do nauki przedmiotów zawodowych. Podobne problemy dotykają również placówki zajmujące się kształceniem osób dorosłych, choć w</w:t>
      </w:r>
      <w:r w:rsidR="002F7C58">
        <w:rPr>
          <w:rFonts w:eastAsia="Calibri"/>
        </w:rPr>
        <w:t> </w:t>
      </w:r>
      <w:r>
        <w:rPr>
          <w:rFonts w:eastAsia="Calibri"/>
        </w:rPr>
        <w:t xml:space="preserve"> tym aspekcie brak jest wiarygodnych danych.  </w:t>
      </w:r>
      <w:r w:rsidRPr="00F34C9E">
        <w:t xml:space="preserve"> </w:t>
      </w:r>
    </w:p>
    <w:p w:rsidR="00424449" w:rsidRDefault="00424449" w:rsidP="00BC2878">
      <w:pPr>
        <w:sectPr w:rsidR="00424449" w:rsidSect="00607AE2">
          <w:footerReference w:type="first" r:id="rId65"/>
          <w:pgSz w:w="11906" w:h="16838"/>
          <w:pgMar w:top="1985" w:right="1418" w:bottom="1418" w:left="1418" w:header="708" w:footer="708" w:gutter="0"/>
          <w:cols w:space="708"/>
          <w:docGrid w:linePitch="360"/>
        </w:sectPr>
      </w:pPr>
    </w:p>
    <w:p w:rsidR="00A9425C" w:rsidRPr="00424449" w:rsidRDefault="00A9425C" w:rsidP="00A9425C">
      <w:pPr>
        <w:pStyle w:val="Legenda"/>
        <w:keepNext/>
      </w:pPr>
      <w:r w:rsidRPr="00424449">
        <w:lastRenderedPageBreak/>
        <w:t xml:space="preserve">Schemat </w:t>
      </w:r>
      <w:r w:rsidR="001B04AC">
        <w:fldChar w:fldCharType="begin"/>
      </w:r>
      <w:r w:rsidR="008E1D74">
        <w:instrText xml:space="preserve"> SEQ Schemat \* ARABIC </w:instrText>
      </w:r>
      <w:r w:rsidR="001B04AC">
        <w:fldChar w:fldCharType="separate"/>
      </w:r>
      <w:r w:rsidR="00832320">
        <w:rPr>
          <w:noProof/>
        </w:rPr>
        <w:t>8</w:t>
      </w:r>
      <w:r w:rsidR="001B04AC">
        <w:rPr>
          <w:noProof/>
        </w:rPr>
        <w:fldChar w:fldCharType="end"/>
      </w:r>
      <w:r w:rsidRPr="00424449">
        <w:t xml:space="preserve">. Model logiczny osi priorytetowej </w:t>
      </w:r>
      <w:r>
        <w:t>VI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640"/>
      </w:tblGrid>
      <w:tr w:rsidR="00A9425C" w:rsidRPr="00424449" w:rsidTr="002B502A">
        <w:trPr>
          <w:jc w:val="center"/>
        </w:trPr>
        <w:tc>
          <w:tcPr>
            <w:tcW w:w="9286" w:type="dxa"/>
            <w:shd w:val="clear" w:color="auto" w:fill="A4BEDD" w:themeFill="accent1" w:themeFillTint="66"/>
          </w:tcPr>
          <w:p w:rsidR="00A9425C" w:rsidRPr="00424449" w:rsidRDefault="00A9425C" w:rsidP="00A9425C">
            <w:pPr>
              <w:spacing w:before="120" w:after="120"/>
              <w:jc w:val="center"/>
              <w:rPr>
                <w:i/>
                <w:noProof/>
                <w:lang w:eastAsia="pl-PL"/>
              </w:rPr>
            </w:pPr>
            <w:r>
              <w:rPr>
                <w:b/>
                <w:i/>
                <w:noProof/>
                <w:sz w:val="20"/>
                <w:lang w:eastAsia="pl-PL"/>
              </w:rPr>
              <w:t>oś priorytetowa VI</w:t>
            </w:r>
            <w:r w:rsidRPr="00424449">
              <w:rPr>
                <w:b/>
                <w:i/>
                <w:noProof/>
                <w:sz w:val="20"/>
                <w:lang w:eastAsia="pl-PL"/>
              </w:rPr>
              <w:t xml:space="preserve">. </w:t>
            </w:r>
            <w:r w:rsidRPr="00A9425C">
              <w:rPr>
                <w:b/>
                <w:i/>
                <w:noProof/>
                <w:sz w:val="20"/>
                <w:lang w:eastAsia="pl-PL"/>
              </w:rPr>
              <w:t>Spójność przestrzenna i społeczna</w:t>
            </w:r>
          </w:p>
        </w:tc>
      </w:tr>
      <w:tr w:rsidR="00A9425C" w:rsidRPr="00424449" w:rsidTr="00B6022D">
        <w:trPr>
          <w:trHeight w:val="7301"/>
          <w:jc w:val="center"/>
        </w:trPr>
        <w:tc>
          <w:tcPr>
            <w:tcW w:w="9286" w:type="dxa"/>
          </w:tcPr>
          <w:p w:rsidR="00A9425C" w:rsidRPr="00424449" w:rsidRDefault="001B04AC" w:rsidP="002B502A">
            <w:pPr>
              <w:spacing w:before="240" w:after="240"/>
              <w:rPr>
                <w:i/>
              </w:rPr>
            </w:pPr>
            <w:r>
              <w:rPr>
                <w:i/>
                <w:noProof/>
                <w:lang w:eastAsia="pl-PL"/>
              </w:rPr>
            </w:r>
            <w:r>
              <w:rPr>
                <w:i/>
                <w:noProof/>
                <w:lang w:eastAsia="pl-PL"/>
              </w:rPr>
              <w:pict>
                <v:group id="Kanwa 645" o:spid="_x0000_s1149" editas="canvas" style="width:743.15pt;height:343.1pt;mso-position-horizontal-relative:char;mso-position-vertical-relative:line" coordsize="94380,43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">
                  <v:shape id="_x0000_s1150" type="#_x0000_t75" style="position:absolute;width:94380;height:43567;visibility:visible">
                    <v:fill o:detectmouseclick="t"/>
                    <v:path o:connecttype="none"/>
                  </v:shape>
                  <v:rect id="Prostokąt 372" o:spid="_x0000_s1151" style="position:absolute;left:14194;top:523;width:144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BvR8QA&#10;AADcAAAADwAAAGRycy9kb3ducmV2LnhtbERPTWvCQBC9F/wPywjemo05SEmzioiBtAdptQi9Ddkx&#10;Cc3OhuyaRH+9Wyj0No/3OdlmMq0YqHeNZQXLKAZBXFrdcKXg65Q/v4BwHllja5kU3MjBZj17yjDV&#10;duRPGo6+EiGEXYoKau+7VEpX1mTQRbYjDtzF9gZ9gH0ldY9jCDetTOJ4JQ02HBpq7GhXU/lzvBoF&#10;H2OeFOfhfj4098v7fkv2e3yzSi3m0/YVhKfJ/4v/3IUO81cJ/D4TL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b0fEAAAA3AAAAA8AAAAAAAAAAAAAAAAAmAIAAGRycy9k&#10;b3ducmV2LnhtbFBLBQYAAAAABAAEAPUAAACJAwAAAAA=&#10;" fillcolor="#c2d69b" stroked="f">
                    <v:textbox>
                      <w:txbxContent>
                        <w:p w:rsidR="00832320" w:rsidRDefault="00832320" w:rsidP="00A9425C">
                          <w:pPr>
                            <w:pStyle w:val="NormalnyWeb"/>
                            <w:spacing w:before="0" w:beforeAutospacing="0" w:after="200" w:afterAutospacing="0" w:line="276" w:lineRule="auto"/>
                            <w:jc w:val="center"/>
                          </w:pPr>
                          <w:r>
                            <w:rPr>
                              <w:rFonts w:ascii="Calibri" w:eastAsia="Calibri" w:hAnsi="Calibri"/>
                              <w:sz w:val="16"/>
                              <w:szCs w:val="16"/>
                            </w:rPr>
                            <w:t>Poprawa stanu infrastruktury uzdrowiskowej oraz specjalistycznej opieki sanatoryjnej (8.2)</w:t>
                          </w:r>
                        </w:p>
                      </w:txbxContent>
                    </v:textbox>
                  </v:rect>
                  <v:rect id="Prostokąt 374" o:spid="_x0000_s1152" style="position:absolute;left:29719;top:523;width:144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zK3MQA&#10;AADcAAAADwAAAGRycy9kb3ducmV2LnhtbERPS2vCQBC+F/wPywje6sYUpEQ3ImLAeijWitDbkJ08&#10;aHY2ZNck9de7hUJv8/E9Z70ZTSN66lxtWcFiHoEgzq2uuVRw+cyeX0E4j6yxsUwKfsjBJp08rTHR&#10;duAP6s++FCGEXYIKKu/bREqXV2TQzW1LHLjCdgZ9gF0pdYdDCDeNjKNoKQ3WHBoqbGlXUf59vhkF&#10;pyGLD9f+fn2v78VxvyX7NbxZpWbTcbsC4Wn0/+I/90GH+csX+H0mXC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8ytzEAAAA3AAAAA8AAAAAAAAAAAAAAAAAmAIAAGRycy9k&#10;b3ducmV2LnhtbFBLBQYAAAAABAAEAPUAAACJAwAAAAA=&#10;" fillcolor="#c2d69b" stroked="f">
                    <v:textbox>
                      <w:txbxContent>
                        <w:p w:rsidR="00832320" w:rsidRDefault="00832320" w:rsidP="00A9425C">
                          <w:pPr>
                            <w:pStyle w:val="NormalnyWeb"/>
                            <w:spacing w:before="0" w:beforeAutospacing="0" w:after="200" w:afterAutospacing="0" w:line="276" w:lineRule="auto"/>
                            <w:jc w:val="center"/>
                          </w:pPr>
                          <w:r>
                            <w:rPr>
                              <w:rFonts w:ascii="Calibri" w:eastAsia="Calibri" w:hAnsi="Calibri"/>
                              <w:sz w:val="16"/>
                              <w:szCs w:val="16"/>
                            </w:rPr>
                            <w:t>Poprawa jakości infrastruktury ochrony zdrowia w województwie (9.1)</w:t>
                          </w:r>
                        </w:p>
                      </w:txbxContent>
                    </v:textbox>
                  </v:rect>
                  <v:rect id="Prostokąt 375" o:spid="_x0000_s1153" style="position:absolute;left:45582;top:580;width:144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VSqMQA&#10;AADcAAAADwAAAGRycy9kb3ducmV2LnhtbERPS2vCQBC+F/wPywje6sZQpEQ3ImLAeijWitDbkJ08&#10;aHY2ZNck9de7hUJv8/E9Z70ZTSN66lxtWcFiHoEgzq2uuVRw+cyeX0E4j6yxsUwKfsjBJp08rTHR&#10;duAP6s++FCGEXYIKKu/bREqXV2TQzW1LHLjCdgZ9gF0pdYdDCDeNjKNoKQ3WHBoqbGlXUf59vhkF&#10;pyGLD9f+fn2v78VxvyX7NbxZpWbTcbsC4Wn0/+I/90GH+csX+H0mXC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VUqjEAAAA3AAAAA8AAAAAAAAAAAAAAAAAmAIAAGRycy9k&#10;b3ducmV2LnhtbFBLBQYAAAAABAAEAPUAAACJAwAAAAA=&#10;" fillcolor="#c2d69b" stroked="f">
                    <v:textbox>
                      <w:txbxContent>
                        <w:p w:rsidR="00832320" w:rsidRDefault="00832320" w:rsidP="00A9425C">
                          <w:pPr>
                            <w:pStyle w:val="NormalnyWeb"/>
                            <w:spacing w:before="0" w:beforeAutospacing="0" w:after="200" w:afterAutospacing="0" w:line="276" w:lineRule="auto"/>
                            <w:jc w:val="center"/>
                          </w:pPr>
                          <w:r>
                            <w:rPr>
                              <w:rFonts w:ascii="Calibri" w:eastAsia="Calibri" w:hAnsi="Calibri"/>
                              <w:sz w:val="16"/>
                              <w:szCs w:val="16"/>
                            </w:rPr>
                            <w:t>Poprawa jakości infrastruktury społecznej w województwie (9.1)</w:t>
                          </w:r>
                        </w:p>
                      </w:txbxContent>
                    </v:textbox>
                  </v:rect>
                  <v:rect id="Prostokąt 376" o:spid="_x0000_s1154" style="position:absolute;left:61667;top:523;width:144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n3M8QA&#10;AADcAAAADwAAAGRycy9kb3ducmV2LnhtbERPS2vCQBC+F/wPywje6sZApUQ3ImLAeijWitDbkJ08&#10;aHY2ZNck9de7hUJv8/E9Z70ZTSN66lxtWcFiHoEgzq2uuVRw+cyeX0E4j6yxsUwKfsjBJp08rTHR&#10;duAP6s++FCGEXYIKKu/bREqXV2TQzW1LHLjCdgZ9gF0pdYdDCDeNjKNoKQ3WHBoqbGlXUf59vhkF&#10;pyGLD9f+fn2v78VxvyX7NbxZpWbTcbsC4Wn0/+I/90GH+csX+H0mXC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Z9zPEAAAA3AAAAA8AAAAAAAAAAAAAAAAAmAIAAGRycy9k&#10;b3ducmV2LnhtbFBLBQYAAAAABAAEAPUAAACJAwAAAAA=&#10;" fillcolor="#c2d69b" stroked="f">
                    <v:textbox>
                      <w:txbxContent>
                        <w:p w:rsidR="00832320" w:rsidRDefault="00832320" w:rsidP="00A9425C">
                          <w:pPr>
                            <w:pStyle w:val="NormalnyWeb"/>
                            <w:spacing w:before="0" w:beforeAutospacing="0" w:after="200" w:afterAutospacing="0" w:line="276" w:lineRule="auto"/>
                            <w:jc w:val="center"/>
                          </w:pPr>
                          <w:r>
                            <w:rPr>
                              <w:rFonts w:ascii="Calibri" w:eastAsia="Calibri" w:hAnsi="Calibri"/>
                              <w:sz w:val="16"/>
                              <w:szCs w:val="16"/>
                            </w:rPr>
                            <w:t>Ograniczenie problemów społecznych na terenach zdegradowanych (9.2)</w:t>
                          </w:r>
                        </w:p>
                      </w:txbxContent>
                    </v:textbox>
                  </v:rect>
                  <v:rect id="Prostokąt 378" o:spid="_x0000_s1155" style="position:absolute;left:77455;top:580;width:14400;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fM38MA&#10;AADcAAAADwAAAGRycy9kb3ducmV2LnhtbERPTYvCMBC9C/6HMII3m+pBl2oUEQXdg+yqCN6GZmyL&#10;zaQ0se366zcLC97m8T5nsepMKRqqXWFZwTiKQRCnVhecKbicd6MPEM4jaywtk4IfcrBa9nsLTLRt&#10;+Zuak89ECGGXoILc+yqR0qU5GXSRrYgDd7e1QR9gnUldYxvCTSkncTyVBgsODTlWtMkpfZyeRsFX&#10;u5vsr83reixe98/tmuytPVilhoNuPQfhqfNv8b97r8P86Qz+ng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fM38MAAADcAAAADwAAAAAAAAAAAAAAAACYAgAAZHJzL2Rv&#10;d25yZXYueG1sUEsFBgAAAAAEAAQA9QAAAIgDAAAAAA==&#10;" fillcolor="#c2d69b" stroked="f">
                    <v:textbox>
                      <w:txbxContent>
                        <w:p w:rsidR="00832320" w:rsidRDefault="00832320" w:rsidP="00A9425C">
                          <w:pPr>
                            <w:pStyle w:val="NormalnyWeb"/>
                            <w:spacing w:before="0" w:beforeAutospacing="0" w:after="200" w:afterAutospacing="0" w:line="276" w:lineRule="auto"/>
                            <w:jc w:val="center"/>
                          </w:pPr>
                          <w:r>
                            <w:rPr>
                              <w:rFonts w:ascii="Calibri" w:eastAsia="Calibri" w:hAnsi="Calibri"/>
                              <w:sz w:val="16"/>
                              <w:szCs w:val="16"/>
                            </w:rPr>
                            <w:t>Poprawa dostępności i jakości regionalnej infrastruktury edukacyjnej i szkoleniowej (10.4)</w:t>
                          </w:r>
                        </w:p>
                      </w:txbxContent>
                    </v:textbox>
                  </v:rect>
                  <v:rect id="Prostokąt 379" o:spid="_x0000_s1156" style="position:absolute;left:14174;top:13358;width:14400;height:302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2hMQA&#10;AADcAAAADwAAAGRycy9kb3ducmV2LnhtbESP0WrCQBBF34X+wzJC33SjBZXUVUQQSguCsR8wzU6T&#10;YHY23V1j+vfOg+DbDPfOvWfW28G1qqcQG88GZtMMFHHpbcOVge/zYbICFROyxdYzGfinCNvNy2iN&#10;ufU3PlFfpEpJCMccDdQpdbnWsazJYZz6jli0Xx8cJllDpW3Am4S7Vs+zbKEdNiwNNXa0r6m8FFdn&#10;4ND/LU8/s9Xbcf6VLuWyiBQ+ozGv42H3DirRkJ7mx/WHFfyF0MozMoH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odoTEAAAA3AAAAA8AAAAAAAAAAAAAAAAAmAIAAGRycy9k&#10;b3ducmV2LnhtbFBLBQYAAAAABAAEAPUAAACJAwAAAAA=&#10;" fillcolor="#d1deee" stroked="f">
                    <v:textbox>
                      <w:txbxContent>
                        <w:p w:rsidR="00832320" w:rsidRDefault="00832320" w:rsidP="00A9425C">
                          <w:pPr>
                            <w:pStyle w:val="NormalnyWeb"/>
                            <w:spacing w:before="0" w:beforeAutospacing="0" w:after="60" w:afterAutospacing="0" w:line="276" w:lineRule="auto"/>
                          </w:pPr>
                          <w:r>
                            <w:rPr>
                              <w:rFonts w:ascii="Calibri" w:eastAsia="Calibri" w:hAnsi="Calibri"/>
                              <w:sz w:val="14"/>
                              <w:szCs w:val="14"/>
                            </w:rPr>
                            <w:t xml:space="preserve">- działania inwestycyjne mające na celu wykorzystanie i rozwój specyficznych walorów uzdrowisk </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rozwój infrastruktury turystycznej i rekreacyjnej w oparciu o lokalne zasoby przyrodnicze i uzdrowiskowe</w:t>
                          </w:r>
                        </w:p>
                      </w:txbxContent>
                    </v:textbox>
                  </v:rect>
                  <v:rect id="Prostokąt 380" o:spid="_x0000_s1157" style="position:absolute;left:29698;top:13358;width:14400;height:302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H8EA&#10;AADcAAAADwAAAGRycy9kb3ducmV2LnhtbERP24rCMBB9F/Yfwgi+aaqCutUoiyAsKwjW/YCxGdti&#10;M6lJtnb/3giCb3M411ltOlOLlpyvLCsYjxIQxLnVFRcKfk+74QKED8gaa8uk4J88bNYfvRWm2t75&#10;SG0WChFD2KeooAyhSaX0eUkG/cg2xJG7WGcwROgKqR3eY7ip5SRJZtJgxbGhxIa2JeXX7M8o2LW3&#10;+fE8XkwPk3245vPMk/vxSg363dcSRKAuvMUv97eO82ef8HwmXi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k0x/BAAAA3AAAAA8AAAAAAAAAAAAAAAAAmAIAAGRycy9kb3du&#10;cmV2LnhtbFBLBQYAAAAABAAEAPUAAACGAwAAAAA=&#10;" fillcolor="#d1deee" stroked="f">
                    <v:textbox>
                      <w:txbxContent>
                        <w:p w:rsidR="00832320" w:rsidRDefault="00832320" w:rsidP="00A9425C">
                          <w:pPr>
                            <w:pStyle w:val="NormalnyWeb"/>
                            <w:spacing w:before="0" w:beforeAutospacing="0" w:after="60" w:afterAutospacing="0" w:line="276" w:lineRule="auto"/>
                          </w:pPr>
                          <w:r>
                            <w:rPr>
                              <w:rFonts w:ascii="Calibri" w:eastAsia="Calibri" w:hAnsi="Calibri"/>
                              <w:sz w:val="14"/>
                              <w:szCs w:val="14"/>
                            </w:rPr>
                            <w:t>- inwestycje związane z infrastrukturą i/ lub wyposażeniem podmiotów ochrony zdrowia (w tym dostosowanie do potrzeb osób niepełnosprawnych),</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wsparcie infrastruktury żłobkowej</w:t>
                          </w:r>
                        </w:p>
                      </w:txbxContent>
                    </v:textbox>
                  </v:rect>
                  <v:rect id="Prostokąt 381" o:spid="_x0000_s1158" style="position:absolute;left:45560;top:13358;width:14400;height:302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sX8QA&#10;AADcAAAADwAAAGRycy9kb3ducmV2LnhtbESP0WrCQBBF34X+wzKFvulGC42kriIFQSoUTPsB0+yY&#10;BLOz6e4a0793HgTfZrh37j2z2oyuUwOF2Ho2MJ9loIgrb1uuDfx876ZLUDEhW+w8k4F/irBZP01W&#10;WFh/5SMNZaqVhHAs0ECTUl9oHauGHMaZ74lFO/ngMMkaam0DXiXcdXqRZW/aYcvS0GBPHw1V5/Li&#10;DOyGv/z4O1++fi0O6VzlZaTwGY15eR6376ASjelhvl/vreDngi/PyAR6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H7F/EAAAA3AAAAA8AAAAAAAAAAAAAAAAAmAIAAGRycy9k&#10;b3ducmV2LnhtbFBLBQYAAAAABAAEAPUAAACJAwAAAAA=&#10;" fillcolor="#d1deee" stroked="f">
                    <v:textbox>
                      <w:txbxContent>
                        <w:p w:rsidR="00832320" w:rsidRDefault="00832320" w:rsidP="00A9425C">
                          <w:pPr>
                            <w:pStyle w:val="NormalnyWeb"/>
                            <w:spacing w:before="0" w:beforeAutospacing="0" w:after="60" w:afterAutospacing="0" w:line="276" w:lineRule="auto"/>
                          </w:pPr>
                          <w:r>
                            <w:rPr>
                              <w:rFonts w:ascii="Calibri" w:eastAsia="Calibri" w:hAnsi="Calibri"/>
                              <w:sz w:val="14"/>
                              <w:szCs w:val="14"/>
                            </w:rPr>
                            <w:t>- inwestycje w infrastrukturę lub wyposażenie podmiotów świadczących usługi pomocy społecznej (w tym dostosowanie do potrzeb osób niepełnosprawnych),</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xml:space="preserve">- inwestycje w infrastrukturą lub wyposażeniem podmiotów wsparcia rodziny i systemu pieczy zastępczej </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inwestycje w infrastrukturę  lub wyposażenie mieszkalnictwa wspomaganego, chronionego i socjalnego (w tym dostosowanie do potrzeb osób niepełnosprawnych)</w:t>
                          </w:r>
                        </w:p>
                      </w:txbxContent>
                    </v:textbox>
                  </v:rect>
                  <v:rect id="Prostokąt 382" o:spid="_x0000_s1159" style="position:absolute;left:61643;top:13356;width:14400;height:302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tJxMEA&#10;AADcAAAADwAAAGRycy9kb3ducmV2LnhtbERP3WrCMBS+H/gO4Qi7m2kdWKlGkYEgDgZWH+DYHNti&#10;c1KTrHZvvwiCd+fj+z3L9WBa0ZPzjWUF6SQBQVxa3XCl4HTcfsxB+ICssbVMCv7Iw3o1eltiru2d&#10;D9QXoRIxhH2OCuoQulxKX9Zk0E9sRxy5i3UGQ4SuktrhPYabVk6TZCYNNhwbauzoq6byWvwaBdv+&#10;lh3O6fzzZ/odrmVWeHJ7r9T7eNgsQAQawkv8dO90nJ+l8HgmXi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LScTBAAAA3AAAAA8AAAAAAAAAAAAAAAAAmAIAAGRycy9kb3du&#10;cmV2LnhtbFBLBQYAAAAABAAEAPUAAACGAwAAAAA=&#10;" fillcolor="#d1deee" stroked="f">
                    <v:textbox>
                      <w:txbxContent>
                        <w:p w:rsidR="00832320" w:rsidRPr="00B6022D" w:rsidRDefault="00832320" w:rsidP="00A9425C">
                          <w:pPr>
                            <w:pStyle w:val="NormalnyWeb"/>
                            <w:spacing w:before="0" w:beforeAutospacing="0" w:after="60" w:afterAutospacing="0" w:line="276" w:lineRule="auto"/>
                            <w:rPr>
                              <w:sz w:val="14"/>
                              <w:szCs w:val="14"/>
                            </w:rPr>
                          </w:pPr>
                          <w:r w:rsidRPr="00B6022D">
                            <w:rPr>
                              <w:rFonts w:ascii="Calibri" w:eastAsia="Calibri" w:hAnsi="Calibri"/>
                              <w:sz w:val="14"/>
                              <w:szCs w:val="14"/>
                            </w:rPr>
                            <w:t>- Realizacja działań inwestycyjnych, mająca na celu poprawę jakości życia mieszkańców oraz ożywienie gospodarcze i społeczne tych obszarów:</w:t>
                          </w:r>
                        </w:p>
                        <w:p w:rsidR="00832320" w:rsidRPr="00B6022D" w:rsidRDefault="00832320" w:rsidP="00A9425C">
                          <w:pPr>
                            <w:pStyle w:val="NormalnyWeb"/>
                            <w:spacing w:before="0" w:beforeAutospacing="0" w:after="0" w:afterAutospacing="0" w:line="276" w:lineRule="auto"/>
                            <w:rPr>
                              <w:sz w:val="14"/>
                              <w:szCs w:val="14"/>
                            </w:rPr>
                          </w:pPr>
                          <w:r w:rsidRPr="00B6022D">
                            <w:rPr>
                              <w:rFonts w:ascii="Calibri" w:eastAsia="Calibri" w:hAnsi="Calibri"/>
                              <w:sz w:val="14"/>
                              <w:szCs w:val="14"/>
                            </w:rPr>
                            <w:t>- uporządkowanie i zagospodarowanie przestrzeni publicznych,</w:t>
                          </w:r>
                        </w:p>
                        <w:p w:rsidR="00832320" w:rsidRPr="00B6022D" w:rsidRDefault="00832320" w:rsidP="00A9425C">
                          <w:pPr>
                            <w:pStyle w:val="NormalnyWeb"/>
                            <w:spacing w:before="0" w:beforeAutospacing="0" w:after="0" w:afterAutospacing="0" w:line="276" w:lineRule="auto"/>
                            <w:rPr>
                              <w:sz w:val="14"/>
                              <w:szCs w:val="14"/>
                            </w:rPr>
                          </w:pPr>
                          <w:r w:rsidRPr="00B6022D">
                            <w:rPr>
                              <w:rFonts w:ascii="Calibri" w:eastAsia="Calibri" w:hAnsi="Calibri"/>
                              <w:sz w:val="14"/>
                              <w:szCs w:val="14"/>
                            </w:rPr>
                            <w:t>- zagospodarowanie zdegradowanych przestrzeni na cele publiczne i/lub gospodarcze,</w:t>
                          </w:r>
                        </w:p>
                        <w:p w:rsidR="00832320" w:rsidRPr="00B6022D" w:rsidRDefault="00832320" w:rsidP="00A9425C">
                          <w:pPr>
                            <w:pStyle w:val="NormalnyWeb"/>
                            <w:spacing w:before="0" w:beforeAutospacing="0" w:after="0" w:afterAutospacing="0" w:line="276" w:lineRule="auto"/>
                            <w:rPr>
                              <w:sz w:val="14"/>
                              <w:szCs w:val="14"/>
                            </w:rPr>
                          </w:pPr>
                          <w:r w:rsidRPr="00B6022D">
                            <w:rPr>
                              <w:rFonts w:ascii="Calibri" w:eastAsia="Calibri" w:hAnsi="Calibri"/>
                              <w:sz w:val="14"/>
                              <w:szCs w:val="14"/>
                            </w:rPr>
                            <w:t xml:space="preserve">- poprawa środowiska i estetyki przestrzeni miejskiej oraz udostępnienie terenów dla mieszkańców, </w:t>
                          </w:r>
                        </w:p>
                        <w:p w:rsidR="00832320" w:rsidRPr="00B6022D" w:rsidRDefault="00832320" w:rsidP="00A9425C">
                          <w:pPr>
                            <w:pStyle w:val="NormalnyWeb"/>
                            <w:spacing w:before="0" w:beforeAutospacing="0" w:after="0" w:afterAutospacing="0" w:line="276" w:lineRule="auto"/>
                            <w:rPr>
                              <w:sz w:val="14"/>
                              <w:szCs w:val="14"/>
                            </w:rPr>
                          </w:pPr>
                          <w:r w:rsidRPr="00B6022D">
                            <w:rPr>
                              <w:rFonts w:ascii="Calibri" w:eastAsia="Calibri" w:hAnsi="Calibri"/>
                              <w:sz w:val="14"/>
                              <w:szCs w:val="14"/>
                            </w:rPr>
                            <w:t>- systemy poprawy bezpieczeństwa publicznego,</w:t>
                          </w:r>
                        </w:p>
                        <w:p w:rsidR="00832320" w:rsidRPr="00B6022D" w:rsidRDefault="00832320" w:rsidP="00A9425C">
                          <w:pPr>
                            <w:pStyle w:val="NormalnyWeb"/>
                            <w:spacing w:before="0" w:beforeAutospacing="0" w:after="60" w:afterAutospacing="0" w:line="276" w:lineRule="auto"/>
                            <w:rPr>
                              <w:sz w:val="14"/>
                              <w:szCs w:val="14"/>
                            </w:rPr>
                          </w:pPr>
                          <w:r w:rsidRPr="00B6022D">
                            <w:rPr>
                              <w:rFonts w:ascii="Calibri" w:eastAsia="Calibri" w:hAnsi="Calibri"/>
                              <w:sz w:val="14"/>
                              <w:szCs w:val="14"/>
                            </w:rPr>
                            <w:t>- dostosowanie istniejącej zabudowy publicznej do celów gospodarczych, społecznych, edukacyjnych, kulturalnych, turystycznych, itp.,</w:t>
                          </w:r>
                        </w:p>
                        <w:p w:rsidR="00832320" w:rsidRPr="00B6022D" w:rsidRDefault="00832320" w:rsidP="00A9425C">
                          <w:pPr>
                            <w:pStyle w:val="NormalnyWeb"/>
                            <w:spacing w:before="0" w:beforeAutospacing="0" w:after="40" w:afterAutospacing="0" w:line="276" w:lineRule="auto"/>
                            <w:rPr>
                              <w:sz w:val="14"/>
                              <w:szCs w:val="14"/>
                            </w:rPr>
                          </w:pPr>
                          <w:r w:rsidRPr="00B6022D">
                            <w:rPr>
                              <w:rFonts w:ascii="Calibri" w:eastAsia="Calibri" w:hAnsi="Calibri"/>
                              <w:sz w:val="14"/>
                              <w:szCs w:val="14"/>
                            </w:rPr>
                            <w:t> </w:t>
                          </w:r>
                        </w:p>
                      </w:txbxContent>
                    </v:textbox>
                  </v:rect>
                  <v:rect id="Prostokąt 383" o:spid="_x0000_s1160" style="position:absolute;left:77431;top:13358;width:14400;height:302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Xs8EA&#10;AADcAAAADwAAAGRycy9kb3ducmV2LnhtbERP3WrCMBS+H/gO4Qi7m6kdWKlGkYEgDgZWH+DYHNti&#10;c1KTrHZvvwiCd+fj+z3L9WBa0ZPzjWUF00kCgri0uuFKwem4/ZiD8AFZY2uZFPyRh/Vq9LbEXNs7&#10;H6gvQiViCPscFdQhdLmUvqzJoJ/YjjhyF+sMhghdJbXDeww3rUyTZCYNNhwbauzoq6byWvwaBdv+&#10;lh3O0/nnT/odrmVWeHJ7r9T7eNgsQAQawkv8dO90nJ+l8HgmXi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Z17PBAAAA3AAAAA8AAAAAAAAAAAAAAAAAmAIAAGRycy9kb3du&#10;cmV2LnhtbFBLBQYAAAAABAAEAPUAAACGAwAAAAA=&#10;" fillcolor="#d1deee" stroked="f">
                    <v:textbox>
                      <w:txbxContent>
                        <w:p w:rsidR="00832320" w:rsidRDefault="00832320" w:rsidP="00A9425C">
                          <w:pPr>
                            <w:pStyle w:val="NormalnyWeb"/>
                            <w:spacing w:before="0" w:beforeAutospacing="0" w:after="60" w:afterAutospacing="0" w:line="276" w:lineRule="auto"/>
                          </w:pPr>
                          <w:r>
                            <w:rPr>
                              <w:rFonts w:ascii="Calibri" w:eastAsia="Calibri" w:hAnsi="Calibri"/>
                              <w:sz w:val="14"/>
                              <w:szCs w:val="14"/>
                            </w:rPr>
                            <w:t xml:space="preserve">- inwestycje w infrastrukturę dydaktyczną lub wyposażenie szkół i placówek tworzących system oświaty </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xml:space="preserve">- inwestycje w infrastrukturę lub  wyposażenie obiektów służących wzmacnianiu sprawności fizycznej uczniów, </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xml:space="preserve">- inwestycje w infrastrukturę lub wyposażenie instytucji popularyzujących naukę i innowacje </w:t>
                          </w:r>
                        </w:p>
                        <w:p w:rsidR="00832320" w:rsidRDefault="00832320" w:rsidP="00A9425C">
                          <w:pPr>
                            <w:pStyle w:val="NormalnyWeb"/>
                            <w:spacing w:before="0" w:beforeAutospacing="0" w:after="60" w:afterAutospacing="0" w:line="276" w:lineRule="auto"/>
                          </w:pPr>
                          <w:r>
                            <w:rPr>
                              <w:rFonts w:ascii="Calibri" w:eastAsia="Calibri" w:hAnsi="Calibri"/>
                              <w:sz w:val="14"/>
                              <w:szCs w:val="14"/>
                            </w:rPr>
                            <w:t>- infrastruktury państwowych wyższych szkół zawodowych</w:t>
                          </w:r>
                        </w:p>
                      </w:txbxContent>
                    </v:textbox>
                  </v:rect>
                  <v:shape id="Straight Arrow Connector 4" o:spid="_x0000_s1161" type="#_x0000_t32" style="position:absolute;left:21440;top:11152;width:0;height:220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cJ9ccAAADcAAAADwAAAGRycy9kb3ducmV2LnhtbESPQWvCQBCF7wX/wzJCb3WjtSrRVaSl&#10;0CIoUUG8jdkxCWZnw+7WpP++Wyj0NsN78743i1VnanEn5yvLCoaDBARxbnXFhYLj4f1pBsIHZI21&#10;ZVLwTR5Wy97DAlNtW87ovg+FiCHsU1RQhtCkUvq8JIN+YBviqF2tMxji6gqpHbYx3NRylCQTabDi&#10;SCixodeS8tv+y0TI2zh72Zw2lzFl6117+Txvgzsr9djv1nMQgbrwb/67/tCx/vQZfp+JE8jl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pwn1xwAAANwAAAAPAAAAAAAA&#10;AAAAAAAAAKECAABkcnMvZG93bnJldi54bWxQSwUGAAAAAAQABAD5AAAAlQMAAAAA&#10;" strokecolor="#335a8a [3044]">
                    <v:stroke endarrow="open"/>
                    <o:lock v:ext="edit" shapetype="f"/>
                  </v:shape>
                  <v:shape id="Straight Arrow Connector 4" o:spid="_x0000_s1162" type="#_x0000_t32" style="position:absolute;left:36985;top:11096;width:0;height:22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6RgcYAAADcAAAADwAAAGRycy9kb3ducmV2LnhtbESPQWvCQBCF74X+h2UKvdVNS6oluopY&#10;ChbBEi2ItzE7TYLZ2bC7mvjvXUHobYb35n1vJrPeNOJMzteWFbwOEhDEhdU1lwp+t18vHyB8QNbY&#10;WCYFF/Iwmz4+TDDTtuOczptQihjCPkMFVQhtJqUvKjLoB7YljtqfdQZDXF0ptcMuhptGviXJUBqs&#10;ORIqbGlRUXHcnEyEfKb5+2q3OqSUz3+6w/d+Hdxeqeenfj4GEagP/+b79VLH+qMUbs/ECeT0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OkYHGAAAA3AAAAA8AAAAAAAAA&#10;AAAAAAAAoQIAAGRycy9kb3ducmV2LnhtbFBLBQYAAAAABAAEAPkAAACUAwAAAAA=&#10;" strokecolor="#335a8a [3044]">
                    <v:stroke endarrow="open"/>
                  </v:shape>
                  <v:shape id="Straight Arrow Connector 4" o:spid="_x0000_s1163" type="#_x0000_t32" style="position:absolute;left:52848;top:11153;width:0;height:220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I0GsYAAADcAAAADwAAAGRycy9kb3ducmV2LnhtbESPQWvCQBCF74L/YZlCb7qpaC2pq4il&#10;oAhKrCDexuw0CWZnw+7WpP++KxS8zfDevO/NbNGZWtzI+cqygpdhAoI4t7riQsHx63PwBsIHZI21&#10;ZVLwSx4W835vhqm2LWd0O4RCxBD2KSooQ2hSKX1ekkE/tA1x1L6tMxji6gqpHbYx3NRylCSv0mDF&#10;kVBiQ6uS8uvhx0TIxzibbE/by5iy5b69bM674M5KPT91y3cQgbrwMP9fr3WsP53A/Zk4gZ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CNBrGAAAA3AAAAA8AAAAAAAAA&#10;AAAAAAAAoQIAAGRycy9kb3ducmV2LnhtbFBLBQYAAAAABAAEAPkAAACUAwAAAAA=&#10;" strokecolor="#335a8a [3044]">
                    <v:stroke endarrow="open"/>
                  </v:shape>
                  <v:shape id="Straight Arrow Connector 4" o:spid="_x0000_s1164" type="#_x0000_t32" style="position:absolute;left:68933;top:11096;width:0;height:22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CqbccAAADcAAAADwAAAGRycy9kb3ducmV2LnhtbESP3WrCQBCF7wXfYZlC73TT4k9JXUVa&#10;CopQiRXEuzE7TYLZ2bC7NfHtXaHg3QznzPnOzBadqcWFnK8sK3gZJiCIc6srLhTsf74GbyB8QNZY&#10;WyYFV/KwmPd7M0y1bTmjyy4UIoawT1FBGUKTSunzkgz6oW2Io/ZrncEQV1dI7bCN4aaWr0kykQYr&#10;joQSG/ooKT/v/kyEfI6y8eawOY0oW27b0/r4HdxRqeenbvkOIlAXHub/65WO9acTuD8TJ5D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0KptxwAAANwAAAAPAAAAAAAA&#10;AAAAAAAAAKECAABkcnMvZG93bnJldi54bWxQSwUGAAAAAAQABAD5AAAAlQMAAAAA&#10;" strokecolor="#335a8a [3044]">
                    <v:stroke endarrow="open"/>
                  </v:shape>
                  <v:shape id="Straight Arrow Connector 4" o:spid="_x0000_s1165" type="#_x0000_t32" style="position:absolute;left:84721;top:11153;width:0;height:220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wP9sYAAADcAAAADwAAAGRycy9kb3ducmV2LnhtbESPQWvCQBCF74L/YRmhN920aFOiq4il&#10;oAiV2IJ4G7PTJJidDburSf99t1DobYb35n1vFqveNOJOzteWFTxOEhDEhdU1lwo+P97GLyB8QNbY&#10;WCYF3+RhtRwOFphp23FO92MoRQxhn6GCKoQ2k9IXFRn0E9sSR+3LOoMhrq6U2mEXw00jn5LkWRqs&#10;ORIqbGlTUXE93kyEvE7z2f60v0wpXx+6y+78HtxZqYdRv56DCNSHf/Pf9VbH+mkKv8/ECeTy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cD/bGAAAA3AAAAA8AAAAAAAAA&#10;AAAAAAAAoQIAAGRycy9kb3ducmV2LnhtbFBLBQYAAAAABAAEAPkAAACUAwAAAAA=&#10;" strokecolor="#335a8a [3044]">
                    <v:stroke endarrow="open"/>
                  </v:shape>
                  <v:rect id="Rectangle 301" o:spid="_x0000_s1166" style="position:absolute;left:1818;top:686;width:7219;height:10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pcMIA&#10;AADcAAAADwAAAGRycy9kb3ducmV2LnhtbESPwW7CQAxE75X4h5WReisbOJQqsCCIBILeCHyAlTVJ&#10;IOsN2QXC39cHpN5szXjmeb7sXaMe1IXas4HxKAFFXHhbc2ngdNx8/YAKEdli45kMvCjAcjH4mGNq&#10;/ZMP9MhjqSSEQ4oGqhjbVOtQVOQwjHxLLNrZdw6jrF2pbYdPCXeNniTJt3ZYszRU2FJWUXHN784A&#10;b+2eL/kF8Xr4zcfrSVbfbpkxn8N+NQMVqY//5vf1zgr+VGjlGZlA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K2lwwgAAANwAAAAPAAAAAAAAAAAAAAAAAJgCAABkcnMvZG93&#10;bnJldi54bWxQSwUGAAAAAAQABAD1AAAAhwMAAAAA&#10;" fillcolor="#76923c" stroked="f">
                    <v:textbox>
                      <w:txbxContent>
                        <w:p w:rsidR="00832320" w:rsidRDefault="00832320" w:rsidP="00A9425C">
                          <w:pPr>
                            <w:pStyle w:val="NormalnyWeb"/>
                            <w:spacing w:before="0" w:beforeAutospacing="0" w:after="200" w:afterAutospacing="0" w:line="276" w:lineRule="auto"/>
                            <w:jc w:val="center"/>
                          </w:pPr>
                          <w:r>
                            <w:rPr>
                              <w:rFonts w:ascii="Calibri" w:eastAsia="SimSun" w:hAnsi="Calibri"/>
                              <w:b/>
                              <w:bCs/>
                              <w:color w:val="FFFFFF"/>
                              <w:sz w:val="16"/>
                              <w:szCs w:val="16"/>
                            </w:rPr>
                            <w:t>cele szczegółowe PI</w:t>
                          </w:r>
                        </w:p>
                      </w:txbxContent>
                    </v:textbox>
                  </v:rect>
                  <v:rect id="Rectangle 302" o:spid="_x0000_s1167" style="position:absolute;left:1818;top:13358;width:7200;height:302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DfcQA&#10;AADcAAAADwAAAGRycy9kb3ducmV2LnhtbESPT4vCMBDF74LfIYzgTVMF/2w1iiiiFw/Wvextthmb&#10;YjMpTbTdb78RFvY2w3vzfm/W285W4kWNLx0rmIwTEMS50yUXCj5vx9EShA/IGivHpOCHPGw3/d4a&#10;U+1avtIrC4WIIexTVGBCqFMpfW7Ioh+7mjhqd9dYDHFtCqkbbGO4reQ0SebSYsmRYLCmvaH8kT1t&#10;5BaT78tp4S+2nedfYUbmNDtclRoOut0KRKAu/Jv/rs861l98wPuZOIH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7A33EAAAA3AAAAA8AAAAAAAAAAAAAAAAAmAIAAGRycy9k&#10;b3ducmV2LnhtbFBLBQYAAAAABAAEAPUAAACJAwAAAAA=&#10;" fillcolor="#366092" stroked="f">
                    <v:textbox>
                      <w:txbxContent>
                        <w:p w:rsidR="00832320" w:rsidRDefault="00832320" w:rsidP="00A9425C">
                          <w:pPr>
                            <w:pStyle w:val="NormalnyWeb"/>
                            <w:spacing w:before="0" w:beforeAutospacing="0" w:after="200" w:afterAutospacing="0" w:line="276" w:lineRule="auto"/>
                            <w:jc w:val="center"/>
                          </w:pPr>
                          <w:r>
                            <w:rPr>
                              <w:rFonts w:ascii="Calibri" w:eastAsia="SimSun" w:hAnsi="Calibri"/>
                              <w:b/>
                              <w:bCs/>
                              <w:color w:val="FCFCFC"/>
                              <w:sz w:val="16"/>
                              <w:szCs w:val="16"/>
                            </w:rPr>
                            <w:t>typy projektów</w:t>
                          </w:r>
                        </w:p>
                      </w:txbxContent>
                    </v:textbox>
                  </v:rect>
                  <w10:wrap type="none"/>
                  <w10:anchorlock/>
                </v:group>
              </w:pict>
            </w:r>
          </w:p>
        </w:tc>
      </w:tr>
    </w:tbl>
    <w:p w:rsidR="00424449" w:rsidRPr="00B6022D" w:rsidRDefault="00A9425C" w:rsidP="00B6022D">
      <w:pPr>
        <w:jc w:val="center"/>
        <w:rPr>
          <w:i/>
        </w:rPr>
      </w:pPr>
      <w:r w:rsidRPr="00424449">
        <w:rPr>
          <w:i/>
        </w:rPr>
        <w:t>Źródło: Opracowanie własne.</w:t>
      </w:r>
    </w:p>
    <w:p w:rsidR="00424449" w:rsidRDefault="00424449" w:rsidP="00424449">
      <w:pPr>
        <w:pStyle w:val="NormalnyWeb"/>
        <w:rPr>
          <w:rFonts w:asciiTheme="minorHAnsi" w:hAnsiTheme="minorHAnsi" w:cstheme="minorBidi"/>
          <w:sz w:val="18"/>
          <w:szCs w:val="18"/>
        </w:rPr>
        <w:sectPr w:rsidR="00424449" w:rsidSect="00607AE2">
          <w:pgSz w:w="16838" w:h="11906" w:orient="landscape"/>
          <w:pgMar w:top="1985" w:right="1418" w:bottom="1418" w:left="1418" w:header="709" w:footer="709" w:gutter="0"/>
          <w:cols w:space="708"/>
          <w:docGrid w:linePitch="360"/>
        </w:sectPr>
      </w:pPr>
    </w:p>
    <w:p w:rsidR="00A527C6" w:rsidRPr="007B6696" w:rsidRDefault="00A527C6" w:rsidP="00A527C6">
      <w:pPr>
        <w:pStyle w:val="Nagwek3"/>
        <w:rPr>
          <w:rFonts w:asciiTheme="minorHAnsi" w:hAnsiTheme="minorHAnsi"/>
        </w:rPr>
      </w:pPr>
      <w:r w:rsidRPr="007B6696">
        <w:rPr>
          <w:rFonts w:asciiTheme="minorHAnsi" w:hAnsiTheme="minorHAnsi"/>
        </w:rPr>
        <w:lastRenderedPageBreak/>
        <w:t>Ocena logiki interwencji i proponowanych form wsparcia</w:t>
      </w:r>
    </w:p>
    <w:p w:rsidR="00A527C6" w:rsidRPr="007B6696" w:rsidRDefault="00A527C6" w:rsidP="00A527C6">
      <w:pPr>
        <w:pStyle w:val="Nagwek4"/>
        <w:rPr>
          <w:rFonts w:asciiTheme="minorHAnsi" w:hAnsiTheme="minorHAnsi"/>
        </w:rPr>
      </w:pPr>
      <w:r w:rsidRPr="007B6696">
        <w:rPr>
          <w:rFonts w:asciiTheme="minorHAnsi" w:hAnsiTheme="minorHAnsi"/>
        </w:rPr>
        <w:t>Poziom osi priorytetowej</w:t>
      </w:r>
    </w:p>
    <w:p w:rsidR="00A527C6" w:rsidRDefault="00A527C6" w:rsidP="00A527C6">
      <w:r>
        <w:t>Oś została wyodrębniona w trakcie prac nad RPO. Obejmuje ona priorytety inwestycyjne wchodzące w skład celów tematycznych 8-10, finansowane z EFRR. Należy ją zatem rozpatrywać przede wszystkim z punktu widzenia spójności i komplementarności z osiami VII – IX, co zostało słusznie podkreślone w uzasadnieniu utworzenia osi priorytetowej w proponowanym kształcie.</w:t>
      </w:r>
      <w:r w:rsidRPr="00F34C9E">
        <w:t xml:space="preserve"> </w:t>
      </w:r>
    </w:p>
    <w:p w:rsidR="00424449" w:rsidRDefault="00424449" w:rsidP="00FD5E31">
      <w:pPr>
        <w:pStyle w:val="Nagwek4"/>
      </w:pPr>
      <w:r w:rsidRPr="00245FB2">
        <w:t xml:space="preserve">8.2 </w:t>
      </w:r>
      <w:r w:rsidR="00B6022D">
        <w:t xml:space="preserve">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 </w:t>
      </w:r>
      <w:r w:rsidRPr="00245FB2">
        <w:t xml:space="preserve"> </w:t>
      </w:r>
    </w:p>
    <w:p w:rsidR="00424449" w:rsidRDefault="009C3A5E" w:rsidP="009C3A5E">
      <w:r>
        <w:t xml:space="preserve">Celem szczegółowym w </w:t>
      </w:r>
      <w:r w:rsidR="00B6022D">
        <w:t>PI</w:t>
      </w:r>
      <w:r>
        <w:t xml:space="preserve"> 8.2 jest </w:t>
      </w:r>
      <w:r>
        <w:rPr>
          <w:i/>
        </w:rPr>
        <w:t xml:space="preserve">poprawa stanu infrastruktury uzdrowiskowej oraz specjalistycznej opieki sanatoryjnej. </w:t>
      </w:r>
      <w:r>
        <w:t>Rezultat ten należy ocenić jako sformułowany poprawnie</w:t>
      </w:r>
      <w:r w:rsidR="00A63F04">
        <w:t>. W</w:t>
      </w:r>
      <w:r>
        <w:t xml:space="preserve">arto jednak podkreślić, że </w:t>
      </w:r>
      <w:r w:rsidR="00A63F04">
        <w:t xml:space="preserve">- </w:t>
      </w:r>
      <w:r>
        <w:t>poprzez powiązanie z celem tematycznym 8</w:t>
      </w:r>
      <w:r w:rsidR="00A63F04">
        <w:t xml:space="preserve"> -</w:t>
      </w:r>
      <w:r>
        <w:t xml:space="preserve"> od zaplanowanych działań należy oczekiwać także wymiernych efektów rozwojowych, przede wszystkim aktywizacji lokalnych rynków pracy oraz </w:t>
      </w:r>
      <w:r w:rsidR="00A63F04">
        <w:t xml:space="preserve">przyspieszenia rozwoju obszarów znajdujących się w zasięgu oddziaływania  uzdrowisk objętych wsparciem. </w:t>
      </w:r>
    </w:p>
    <w:p w:rsidR="00A63F04" w:rsidRPr="009C3A5E" w:rsidRDefault="00A63F04" w:rsidP="009C3A5E">
      <w:r>
        <w:t xml:space="preserve">Zaproponowany w programie zakres interwencji także należy ocenić jako właściwie dopasowany do oczekiwanych rezultatów. W programie przewidziano dofinansowanie działań inwestycyjnych pozwalających na wykorzystanie i rozwój specyficznych walorów uzdrowisk, a także rozwój infrastruktury turystycznej i rekreacyjnej.  Podczas prac nad dokumentami wdrożeniowym RPO WP 2014-2020 wskazane będzie powiązanie działań zaplanowanych w priorytecie inwestycyjnym 8.2 z pozostałymi elementami programu, w ramach których przewidziano typy projektów związane z poprawą atrakcyjności turystycznej województwa – w szczególności z PI 6.3 i PI 6.4. </w:t>
      </w:r>
    </w:p>
    <w:p w:rsidR="00424449" w:rsidRDefault="00424449" w:rsidP="00FD5E31">
      <w:pPr>
        <w:pStyle w:val="Nagwek4"/>
        <w:spacing w:after="40"/>
      </w:pPr>
      <w:r>
        <w:t xml:space="preserve">PI 9.1 </w:t>
      </w:r>
      <w:r w:rsidRPr="00560B8E">
        <w:t>Inwestowanie w infrastrukturę zdrowotną i społeczną, która przyczyni się do rozwoju krajowego, regionalnego i lokalnego, zmniejszy nierówności w zakresie stanu zdrowia, promowanie włączenia społecznego poprzez lepszy dostęp do usług społecznych, kulturalnych i rekreacyjnych, oraz przejścia z usług instytucjonalnych na usługi na poziomie społeczności lokalnych</w:t>
      </w:r>
    </w:p>
    <w:p w:rsidR="00424449" w:rsidRDefault="00424449" w:rsidP="00424449">
      <w:r>
        <w:t xml:space="preserve">W programie sformułowano dwa cele szczegółowe: </w:t>
      </w:r>
    </w:p>
    <w:p w:rsidR="00424449" w:rsidRDefault="009C3A5E" w:rsidP="000965A8">
      <w:pPr>
        <w:pStyle w:val="Akapitzlist"/>
        <w:numPr>
          <w:ilvl w:val="0"/>
          <w:numId w:val="30"/>
        </w:numPr>
      </w:pPr>
      <w:r w:rsidRPr="009C3A5E">
        <w:rPr>
          <w:i/>
        </w:rPr>
        <w:t>p</w:t>
      </w:r>
      <w:r w:rsidR="00424449" w:rsidRPr="009C3A5E">
        <w:rPr>
          <w:i/>
        </w:rPr>
        <w:t>oprawa jakości infrastruktury ochrony zdrowia w województwie</w:t>
      </w:r>
      <w:r>
        <w:t>;</w:t>
      </w:r>
    </w:p>
    <w:p w:rsidR="00424449" w:rsidRDefault="009C3A5E" w:rsidP="000965A8">
      <w:pPr>
        <w:pStyle w:val="Akapitzlist"/>
        <w:numPr>
          <w:ilvl w:val="0"/>
          <w:numId w:val="30"/>
        </w:numPr>
      </w:pPr>
      <w:r w:rsidRPr="009C3A5E">
        <w:rPr>
          <w:i/>
        </w:rPr>
        <w:t>p</w:t>
      </w:r>
      <w:r w:rsidR="00424449" w:rsidRPr="009C3A5E">
        <w:rPr>
          <w:i/>
        </w:rPr>
        <w:t>oprawa jakości infrastruktury społecznej w województwie</w:t>
      </w:r>
      <w:r>
        <w:t>.</w:t>
      </w:r>
    </w:p>
    <w:p w:rsidR="00424449" w:rsidRDefault="00424449" w:rsidP="00424449">
      <w:r>
        <w:t>Oba cele są uzasadnione i odnoszą się do kluczowy</w:t>
      </w:r>
      <w:r w:rsidR="009C3A5E">
        <w:t>ch wyzwań, zidentyfikowanych w s</w:t>
      </w:r>
      <w:r>
        <w:t>ekcji 1.1</w:t>
      </w:r>
      <w:r w:rsidR="009C3A5E">
        <w:t xml:space="preserve"> programu</w:t>
      </w:r>
      <w:r>
        <w:t>. Wskazują w sposób jednoznaczny, że kluczowym efektem interwencji ma być poprawa jakości infrastruktury ochrony zdrowia. Ich osiągnięcie może przyczynić si</w:t>
      </w:r>
      <w:r w:rsidR="009C3A5E">
        <w:t>ę do ograniczenia nierówności w </w:t>
      </w:r>
      <w:r>
        <w:t xml:space="preserve">dostępie do usług zdrowotnych i społecznych. </w:t>
      </w:r>
    </w:p>
    <w:p w:rsidR="00424449" w:rsidRDefault="00424449" w:rsidP="00424449">
      <w:r>
        <w:t xml:space="preserve">Zakres planowanej interwencji jest stosunkowo szeroki. Wskazano jednak w programie obszary koncentracji. Pozytywnie należy ocenić propozycję skupienia interwencji na inwestycjach związanych z pięcioma głównymi grupami zachorowań. Zdecydowanie pozytywnie należy ocenić również </w:t>
      </w:r>
      <w:r>
        <w:lastRenderedPageBreak/>
        <w:t>propozycję inwestycji w opiekę długoterminową – dostęp do tego typu usług jest zbyt mały i jest to jeden z ważniejszych obszarów, wymagających interwencji.</w:t>
      </w:r>
      <w:r w:rsidRPr="00436327">
        <w:rPr>
          <w:rStyle w:val="Odwoanieprzypisudolnego"/>
        </w:rPr>
        <w:t xml:space="preserve"> </w:t>
      </w:r>
      <w:r>
        <w:rPr>
          <w:rStyle w:val="Odwoanieprzypisudolnego"/>
        </w:rPr>
        <w:footnoteReference w:id="54"/>
      </w:r>
      <w:r>
        <w:t xml:space="preserve"> Zachodzące zmiany demograficzne będą przyczyniać się do wzrostu popytu na usługi zdrowotne w tych obszarach.</w:t>
      </w:r>
      <w:r>
        <w:rPr>
          <w:rStyle w:val="Odwoanieprzypisudolnego"/>
        </w:rPr>
        <w:footnoteReference w:id="55"/>
      </w:r>
      <w:r>
        <w:t xml:space="preserve"> Inwestycje związane z jakością usług opieki nad kobietą w okresie ciąży, porodu, połogu oraz opieki nad noworodkiem znajdują uzasadnienie w diagnozie oraz sytuacji epidemiologicznej i mogą mieć również pewien wpływ na decyzje prokreacyjne, co może znaleźć odzwierciedlenie w sytuacji demograficznej. </w:t>
      </w:r>
    </w:p>
    <w:p w:rsidR="00424449" w:rsidRDefault="00424449" w:rsidP="00424449">
      <w:r>
        <w:t>Pozytywnie również należy ocenić ukierunkowanie wsparcia na dostosowanie i wyposażenie istniejącej infrastruktury. W Polsce skala problemu braku infrastruktury jest ograniczony.</w:t>
      </w:r>
      <w:r>
        <w:rPr>
          <w:rStyle w:val="Odwoanieprzypisudolnego"/>
        </w:rPr>
        <w:footnoteReference w:id="56"/>
      </w:r>
      <w:r>
        <w:t xml:space="preserve"> </w:t>
      </w:r>
    </w:p>
    <w:p w:rsidR="00424449" w:rsidRDefault="00424449" w:rsidP="00424449">
      <w:r>
        <w:t xml:space="preserve">Należy podkreślić, że zapewnienie jakości świadczeń medycznych nie wiąże się tylko z inwestycjami infrastrukturalnymi. Dlatego też wskazane jest, w dokumentach niższego rzędu, nałożenie na projektodawców wymagań dotyczących prowadzenia, równolegle do inwestycji infrastrukturalnych, działań zmierzających do poprawy jakości świadczonych usług. </w:t>
      </w:r>
    </w:p>
    <w:p w:rsidR="00424449" w:rsidRDefault="00424449" w:rsidP="00424449">
      <w:r>
        <w:t>Proponowany zakres inwestycji infrastrukturalnych w usługi społeczne został zarysowany stosunkowo szeroko, jednak wynika to z dużej skali potrzeb w tym obszarze. Dotyczy to szczególnie usług o charakterze środowiskowym, które wspierają jednostki i rodziny w trudnej sytuacji. Dlatego też generalnie proponowany zakres interwencji należy ocenić pozytywnie. Dotyczy to szczególnie placówek dziennej opieki dla osób zależnych.</w:t>
      </w:r>
    </w:p>
    <w:p w:rsidR="00424449" w:rsidRDefault="00424449" w:rsidP="00424449">
      <w:r>
        <w:t xml:space="preserve">Pozytywnie również należy ocenić planowane inwestycje w mieszkania chronione i wspomagane. Występuje w tym obszarze zdecydowany deficyt, co utrudnia włączanie osób zagrożonych wykluczeniem społecznym do życia społeczności lokalnych i ich stopniowe usamodzielniane. </w:t>
      </w:r>
    </w:p>
    <w:p w:rsidR="00424449" w:rsidRDefault="00424449" w:rsidP="00424449">
      <w:r>
        <w:t xml:space="preserve">Zdecydowanie również należy ocenić propozycję inwestycji w infrastrukturę instytucji świadczących usługi opiekuńcze dla dzieci do lat 3. Jak wykazano w analizie PI 8.8, jest to obszar silnie niedoinwestowany, a niedostateczny poziom wydatków infrastrukturalnych może stanowić poważną barierę dla rozwoju tego typu usług (szczególnie na terenach wiejskich i w mniejszych miejscowościach). </w:t>
      </w:r>
    </w:p>
    <w:p w:rsidR="00424449" w:rsidRDefault="00424449" w:rsidP="00424449">
      <w:r>
        <w:t>Na etapie opracowywania dokumentów niższego rzędu należy zwrócić uwagę na następujące kwestie:</w:t>
      </w:r>
    </w:p>
    <w:p w:rsidR="00424449" w:rsidRDefault="00424449" w:rsidP="000965A8">
      <w:pPr>
        <w:pStyle w:val="Akapitzlist"/>
        <w:numPr>
          <w:ilvl w:val="0"/>
          <w:numId w:val="31"/>
        </w:numPr>
      </w:pPr>
      <w:r>
        <w:t>Zapewnienie wysokiego stopnia wykorzystania zmodernizowanej infrastruktury – wymaga to koordynacji planów inwestycyjnych z NFZ,</w:t>
      </w:r>
    </w:p>
    <w:p w:rsidR="00424449" w:rsidRDefault="00424449" w:rsidP="000965A8">
      <w:pPr>
        <w:pStyle w:val="Akapitzlist"/>
        <w:numPr>
          <w:ilvl w:val="0"/>
          <w:numId w:val="31"/>
        </w:numPr>
      </w:pPr>
      <w:r>
        <w:t>Doprecyzowanie zasad zapewniania komplementarności dla projektów z zakresu usług społecznych pomiędzy PI 9.7 i 9.1.</w:t>
      </w:r>
    </w:p>
    <w:p w:rsidR="00424449" w:rsidRDefault="00424449" w:rsidP="00FD5E31">
      <w:pPr>
        <w:pStyle w:val="Nagwek4"/>
      </w:pPr>
      <w:r>
        <w:lastRenderedPageBreak/>
        <w:t xml:space="preserve">PI 9.2 </w:t>
      </w:r>
      <w:r w:rsidRPr="00560B8E">
        <w:t>Wspieranie rewitalizacji fizycznej, gospodarczej i społecznej ubogich społeczności na obszarach miejskich i wiejskich</w:t>
      </w:r>
    </w:p>
    <w:p w:rsidR="00424449" w:rsidRPr="00FA2626" w:rsidRDefault="00424449" w:rsidP="00424449">
      <w:r w:rsidRPr="00FA2626">
        <w:t xml:space="preserve">W zakresie priorytetu 9.2 obrano cel szczegółowy: </w:t>
      </w:r>
      <w:r w:rsidRPr="00FA2626">
        <w:rPr>
          <w:i/>
        </w:rPr>
        <w:t>Ograniczenie problemów społecznych na terenach zdegradowanych</w:t>
      </w:r>
      <w:r>
        <w:t>. Cel ten należy ocenić pozytywnie. Kładzie się w nim nacisk na kwestie sp</w:t>
      </w:r>
      <w:r w:rsidR="009C3A5E">
        <w:t>ołeczne i </w:t>
      </w:r>
      <w:r>
        <w:t xml:space="preserve">wyraźnie wskazuje na kluczowy cel inwestycji. </w:t>
      </w:r>
    </w:p>
    <w:p w:rsidR="00424449" w:rsidRDefault="00424449" w:rsidP="00424449">
      <w:r>
        <w:t>Kwestia ta ma kluczowe znaczenie z punktu widzenia przyszłości wdrażania tej interwencji. Dotychczasowe doświadczenia związane z rewitalizacją dowodzą, że choć udało się w wielu miejscach poprawić jakość przestrzeni publicznej, to nie zawsze przekładało się to na rozwiązywanie problemów społecznych. Z badania ewaluacyjnego przeprowadzonego w województwie podkarpackim wynika, że poważną słabością realizowanych projektów była koncentracja na kwestiach infrastrukturalnych. Nie uwzględniono aspektu społecznego i gospodarczego – zakładano, że poprawa infrastruktury „samoczynnie” doprowadzi do ożywienia gospodarczego i rozwiązania problemów społecznych. Niestety, założenia te zwykle nie spełniały się.</w:t>
      </w:r>
      <w:r>
        <w:rPr>
          <w:rStyle w:val="Odwoanieprzypisudolnego"/>
        </w:rPr>
        <w:footnoteReference w:id="57"/>
      </w:r>
      <w:r>
        <w:t xml:space="preserve"> </w:t>
      </w:r>
    </w:p>
    <w:p w:rsidR="00424449" w:rsidRDefault="00424449" w:rsidP="00424449">
      <w:r>
        <w:t xml:space="preserve">Dlatego też pozytywnie należy ocenić silny nacisk w programie na realizację kompletnych projektów, dotyczących rewitalizacji społecznej, fizycznej, gospodarczej, środowiskowej i przestrzennej. Jednoznacznie również zapisano, że działania infrastrukturalne powinny być podporządkowane rozwiązaniu problemów społecznych. W tym kontekście pozytywnie </w:t>
      </w:r>
      <w:r w:rsidR="009C3A5E">
        <w:t xml:space="preserve">należy ocenić zapisy, zgodnie </w:t>
      </w:r>
      <w:r w:rsidR="009C3A5E" w:rsidRPr="009C3A5E">
        <w:t>z</w:t>
      </w:r>
      <w:r w:rsidR="009C3A5E">
        <w:t> </w:t>
      </w:r>
      <w:r w:rsidRPr="009C3A5E">
        <w:t>którymi</w:t>
      </w:r>
      <w:r>
        <w:t xml:space="preserve"> podstawą dla realizacji projektów będą Lokalne Plany Rewitalizacji, a także wskazujące, że będą one wdrażane w formie zintegrowanych przedsięwzięć, które obejmują wszystkie aspekty rewitalizacji. Duże znaczenie w tym kontekście będą miały przyjęte zasady wyboru projektów oraz kryteria ich oceny – kwestie te powinny zostać określone w dokumentach niższego rzędu, a możliwy sposób działania opisany w rozdziale poświęconym systemowi realizacji. </w:t>
      </w:r>
    </w:p>
    <w:p w:rsidR="00424449" w:rsidRDefault="00424449" w:rsidP="00424449">
      <w:r>
        <w:t xml:space="preserve">Słusznie również podkreślono znaczenie zaangażowania społeczności lokalnej. Wydaje się, że kwestia ta powinna być podkreślona mocniej. Odpowiednie uspołecznienie całego procesu jest warunkiem koniecznym dla jego sukcesu. Dlatego też wymóg uspołecznienia powinien być konieczny dla wszystkich projektów. Kwestia ta powinna być uwzględniona w dokumentach niższego rzędu. </w:t>
      </w:r>
    </w:p>
    <w:p w:rsidR="00424449" w:rsidRDefault="00424449" w:rsidP="00424449">
      <w:r>
        <w:t>Pozytywnie również należy ocenić dodatkowe wymagania dla przedsięwzięć rewitalizacyjnych, takie jak np. ograniczony wpływ na wzrost cen nieruchomości i kosztów życia czy też przyczyniające się do tworzeniach nowych miejsc pracy. Takie podejście może ograniczyć efekty uboczne projektów rewitalizacyjnych, czyli właśnie podnoszenia kosztów życia, co w wielu przypadkach prowadzi do wypychania ludności ubogiej na inne obszary miasta. P</w:t>
      </w:r>
      <w:r w:rsidRPr="00016C3D">
        <w:t xml:space="preserve">ozytywnie oceniamy </w:t>
      </w:r>
      <w:r>
        <w:t xml:space="preserve">preferencję dla obszarów miejskich. </w:t>
      </w:r>
    </w:p>
    <w:p w:rsidR="00424449" w:rsidRPr="00A63F04" w:rsidRDefault="00424449" w:rsidP="00FD5E31">
      <w:pPr>
        <w:pStyle w:val="Nagwek4"/>
        <w:spacing w:after="240"/>
        <w:rPr>
          <w:rFonts w:asciiTheme="minorHAnsi" w:hAnsiTheme="minorHAnsi"/>
        </w:rPr>
      </w:pPr>
      <w:r w:rsidRPr="00A63F04">
        <w:rPr>
          <w:rFonts w:asciiTheme="minorHAnsi" w:hAnsiTheme="minorHAnsi"/>
        </w:rPr>
        <w:t>PI</w:t>
      </w:r>
      <w:r w:rsidR="00A9425C" w:rsidRPr="00A63F04">
        <w:rPr>
          <w:rFonts w:asciiTheme="minorHAnsi" w:hAnsiTheme="minorHAnsi"/>
        </w:rPr>
        <w:t xml:space="preserve"> </w:t>
      </w:r>
      <w:r w:rsidRPr="00A63F04">
        <w:rPr>
          <w:rFonts w:asciiTheme="minorHAnsi" w:hAnsiTheme="minorHAnsi"/>
        </w:rPr>
        <w:t>10.4 Inwestowanie w kształcenie, szkolenie oraz szkolenie zawodowe na rzecz zdobywania umiejętności i uczenia się przez całe życie poprzez rozwój infrastruktury edukacyjnej i szkoleniowej</w:t>
      </w:r>
    </w:p>
    <w:p w:rsidR="00424449" w:rsidRPr="006B2C00" w:rsidRDefault="00424449" w:rsidP="00424449">
      <w:pPr>
        <w:rPr>
          <w:rFonts w:cs="Arial"/>
        </w:rPr>
      </w:pPr>
      <w:r w:rsidRPr="006B2C00">
        <w:t xml:space="preserve">W zakresie priorytetu 10.4 obrano cel szczegółowy: </w:t>
      </w:r>
      <w:r w:rsidRPr="006B2C00">
        <w:rPr>
          <w:i/>
          <w:iCs/>
        </w:rPr>
        <w:t>Poprawa dostępności i jakości regionalnej infrastruktury edukacyjnej i szkoleniowej</w:t>
      </w:r>
      <w:r w:rsidRPr="006B2C00">
        <w:t xml:space="preserve">. Jest on trafny </w:t>
      </w:r>
      <w:r w:rsidRPr="006B2C00">
        <w:rPr>
          <w:rFonts w:cs="Arial"/>
          <w:color w:val="000000"/>
        </w:rPr>
        <w:t xml:space="preserve">w kontekście założonej spójności planowanych przedsięwzięć finansowanych z EFRR w stosunku do przedsięwzięć finansowanych z EFS </w:t>
      </w:r>
      <w:r w:rsidRPr="006B2C00">
        <w:rPr>
          <w:rFonts w:cs="Arial"/>
          <w:color w:val="000000"/>
        </w:rPr>
        <w:lastRenderedPageBreak/>
        <w:t xml:space="preserve">w ramach PI 10.1, PI 10.3 i PI 10.3 bis. </w:t>
      </w:r>
      <w:r w:rsidRPr="006B2C00">
        <w:rPr>
          <w:rFonts w:cs="Arial"/>
        </w:rPr>
        <w:t xml:space="preserve">Efektywność i skuteczność inwestycji infrastrukturalnych jest możliwa do osiągnięcia pod warunkiem oparcia ich o diagnozę potrzeb na poziomie szkół oraz powiązania ich z projektami realizowanymi w ramach PI </w:t>
      </w:r>
      <w:r w:rsidRPr="006B2C00">
        <w:rPr>
          <w:rFonts w:cs="Arial"/>
          <w:color w:val="000000"/>
        </w:rPr>
        <w:t>10.1, PI 10.3 i PI 10.3 bis</w:t>
      </w:r>
      <w:r w:rsidRPr="006B2C00">
        <w:rPr>
          <w:rFonts w:cs="Arial"/>
        </w:rPr>
        <w:t xml:space="preserve">. </w:t>
      </w:r>
    </w:p>
    <w:p w:rsidR="00424449" w:rsidRDefault="00424449" w:rsidP="00424449">
      <w:pPr>
        <w:rPr>
          <w:rFonts w:cs="Arial"/>
        </w:rPr>
      </w:pPr>
      <w:r>
        <w:rPr>
          <w:rFonts w:cs="Arial"/>
        </w:rPr>
        <w:t>Zakres interwencji został określony stosunkowo szeroko, co wiąże się z dużą skalą potrzeb. Planowane interwencje są uzasadnione z punktu widzenia rozwoju regionu. Dotyczy to szczególnie inwestycji w infrastrukturę przedszkolną (choć w tym przypadku należy wziąć pod uwagę prognozowane zmiany demograficzne), a także inwestycje w infrastrukturę kształcenia zawodowego i</w:t>
      </w:r>
      <w:r w:rsidR="002F7C58">
        <w:rPr>
          <w:rFonts w:cs="Arial"/>
        </w:rPr>
        <w:t> </w:t>
      </w:r>
      <w:r>
        <w:rPr>
          <w:rFonts w:cs="Arial"/>
        </w:rPr>
        <w:t xml:space="preserve"> ustawicznego (w tym wypadku jakość infrastruktury wpływa na jakość i atrakcyjność kształcenia). </w:t>
      </w:r>
      <w:r>
        <w:t xml:space="preserve">Jak wskazują przeprowadzone ostatnio badania, </w:t>
      </w:r>
      <w:r w:rsidRPr="00A81C05">
        <w:rPr>
          <w:vertAlign w:val="superscript"/>
        </w:rPr>
        <w:t>1</w:t>
      </w:r>
      <w:r>
        <w:t>/</w:t>
      </w:r>
      <w:r w:rsidRPr="00A81C05">
        <w:rPr>
          <w:vertAlign w:val="subscript"/>
        </w:rPr>
        <w:t>3</w:t>
      </w:r>
      <w:r>
        <w:t xml:space="preserve"> placówek kształcenia zawodowego nie posiadała warsztatów umożliwianych kształcenie praktyczne w zawodzie. Pod tym względem najgorsza jest sytuacja ZSZ, gdzie jakimkolwiek sprzętem umożliwiającym naukę praktyczna dysponowało </w:t>
      </w:r>
      <w:r w:rsidRPr="00A81C05">
        <w:rPr>
          <w:vertAlign w:val="superscript"/>
        </w:rPr>
        <w:t>2</w:t>
      </w:r>
      <w:r>
        <w:t>/</w:t>
      </w:r>
      <w:r w:rsidRPr="00A81C05">
        <w:rPr>
          <w:vertAlign w:val="subscript"/>
        </w:rPr>
        <w:t>5</w:t>
      </w:r>
      <w:r w:rsidR="002F7C58">
        <w:rPr>
          <w:vertAlign w:val="subscript"/>
        </w:rPr>
        <w:t> </w:t>
      </w:r>
      <w:r>
        <w:t xml:space="preserve"> placówek.</w:t>
      </w:r>
      <w:r>
        <w:rPr>
          <w:rStyle w:val="Odwoanieprzypisudolnego"/>
        </w:rPr>
        <w:footnoteReference w:id="58"/>
      </w:r>
      <w:r>
        <w:t xml:space="preserve"> </w:t>
      </w:r>
      <w:r w:rsidRPr="00F34C9E">
        <w:rPr>
          <w:rFonts w:cs="Arial"/>
        </w:rPr>
        <w:t xml:space="preserve">Ewaluacja dotychczasowych działań wykazała </w:t>
      </w:r>
      <w:r>
        <w:rPr>
          <w:rFonts w:cs="Arial"/>
        </w:rPr>
        <w:t>niską</w:t>
      </w:r>
      <w:r w:rsidRPr="00B42258">
        <w:rPr>
          <w:rFonts w:cs="Arial"/>
        </w:rPr>
        <w:t xml:space="preserve"> ocen</w:t>
      </w:r>
      <w:r>
        <w:rPr>
          <w:rFonts w:cs="Arial"/>
        </w:rPr>
        <w:t>ę</w:t>
      </w:r>
      <w:r w:rsidRPr="00B42258">
        <w:rPr>
          <w:rFonts w:cs="Arial"/>
        </w:rPr>
        <w:t xml:space="preserve"> sprzętu techniczno-dydaktycznego, z którego uczniowie korzystaj</w:t>
      </w:r>
      <w:r>
        <w:rPr>
          <w:rFonts w:cs="Arial"/>
        </w:rPr>
        <w:t>ą przy praktycznej nauce zawodu, co dowodzi zasadności inwestycji.</w:t>
      </w:r>
      <w:r w:rsidRPr="00F34C9E">
        <w:rPr>
          <w:rFonts w:cs="Arial"/>
        </w:rPr>
        <w:t xml:space="preserve"> </w:t>
      </w:r>
      <w:r>
        <w:rPr>
          <w:rFonts w:cs="Arial"/>
        </w:rPr>
        <w:t xml:space="preserve">Podobne problemy dotykają również placówki zajmujące się kształceniem osób dorosłych. W programie przewiduje się również wsparcie dla państwowych wyższych szkół zawodowych. Wzmocnienie tego typu placówek może być ocenione jako uzasadnione. Wskazane jest jednak, aby było to powiązane z działaniami na rzecz poprawy jakości kształcenia, a także w ścisłej współpracy z pracodawcami. </w:t>
      </w:r>
    </w:p>
    <w:p w:rsidR="00424449" w:rsidRDefault="00424449" w:rsidP="00424449">
      <w:pPr>
        <w:rPr>
          <w:rFonts w:cs="Arial"/>
        </w:rPr>
      </w:pPr>
      <w:r>
        <w:rPr>
          <w:rFonts w:cs="Arial"/>
        </w:rPr>
        <w:t xml:space="preserve">Równocześnie należy podkreślić, inwestycje te powinny być rozpatrywane przede wszystkim jako uzupełnienie działań wzmacniających współpracę szkół z pracodawcami, szczególnie w zakresie praktycznej nauki zawodu. </w:t>
      </w:r>
    </w:p>
    <w:p w:rsidR="00424449" w:rsidRPr="007B6696" w:rsidRDefault="00424449" w:rsidP="00BC2878">
      <w:pPr>
        <w:pStyle w:val="Nagwek3"/>
        <w:rPr>
          <w:rFonts w:asciiTheme="minorHAnsi" w:eastAsia="Times New Roman" w:hAnsiTheme="minorHAnsi" w:cs="Times New Roman"/>
        </w:rPr>
      </w:pPr>
      <w:r w:rsidRPr="007B6696">
        <w:rPr>
          <w:rFonts w:asciiTheme="minorHAnsi" w:hAnsiTheme="minorHAnsi"/>
        </w:rPr>
        <w:t>Ocena wskaźników</w:t>
      </w:r>
    </w:p>
    <w:p w:rsidR="00424449" w:rsidRDefault="00424449" w:rsidP="00BC2878">
      <w:pPr>
        <w:pStyle w:val="Nagwek4"/>
        <w:rPr>
          <w:rFonts w:asciiTheme="minorHAnsi" w:hAnsiTheme="minorHAnsi"/>
        </w:rPr>
      </w:pPr>
      <w:r w:rsidRPr="007B6696">
        <w:rPr>
          <w:rFonts w:asciiTheme="minorHAnsi" w:hAnsiTheme="minorHAnsi"/>
        </w:rPr>
        <w:t>Wskaźniki rezultatu strategicznego</w:t>
      </w:r>
    </w:p>
    <w:p w:rsidR="00424449" w:rsidRPr="00BB2CAD" w:rsidRDefault="00424449" w:rsidP="00424449">
      <w:r>
        <w:t xml:space="preserve">Wskaźniki rezultatu strategicznego zostały dobrane prawidłowo. </w:t>
      </w:r>
    </w:p>
    <w:p w:rsidR="00424449" w:rsidRPr="007B6696" w:rsidRDefault="00424449" w:rsidP="00B24E31">
      <w:pPr>
        <w:pStyle w:val="NormalnyWeb"/>
        <w:keepNext/>
        <w:jc w:val="center"/>
        <w:rPr>
          <w:rFonts w:asciiTheme="minorHAnsi" w:eastAsia="Calibri" w:hAnsiTheme="minorHAnsi"/>
          <w:b/>
          <w:bCs/>
          <w:color w:val="366092" w:themeColor="accent1"/>
          <w:sz w:val="18"/>
          <w:szCs w:val="18"/>
        </w:rPr>
      </w:pPr>
      <w:r w:rsidRPr="007B6696">
        <w:rPr>
          <w:rFonts w:asciiTheme="minorHAnsi" w:hAnsiTheme="minorHAnsi"/>
          <w:b/>
          <w:bCs/>
          <w:color w:val="366092" w:themeColor="accent1"/>
          <w:sz w:val="18"/>
          <w:szCs w:val="18"/>
        </w:rPr>
        <w:t xml:space="preserve">Tabela </w:t>
      </w:r>
      <w:r w:rsidR="001B04AC" w:rsidRPr="007B6696">
        <w:rPr>
          <w:rFonts w:asciiTheme="minorHAnsi" w:hAnsiTheme="minorHAnsi"/>
          <w:b/>
          <w:bCs/>
          <w:color w:val="366092" w:themeColor="accent1"/>
          <w:sz w:val="18"/>
          <w:szCs w:val="18"/>
        </w:rPr>
        <w:fldChar w:fldCharType="begin"/>
      </w:r>
      <w:r w:rsidRPr="007B6696">
        <w:rPr>
          <w:rFonts w:asciiTheme="minorHAnsi" w:hAnsiTheme="minorHAnsi"/>
          <w:b/>
          <w:bCs/>
          <w:color w:val="366092" w:themeColor="accent1"/>
          <w:sz w:val="18"/>
          <w:szCs w:val="18"/>
        </w:rPr>
        <w:instrText xml:space="preserve"> SEQ Tabela \* ARABIC </w:instrText>
      </w:r>
      <w:r w:rsidR="001B04AC" w:rsidRPr="007B6696">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22</w:t>
      </w:r>
      <w:r w:rsidR="001B04AC" w:rsidRPr="007B6696">
        <w:rPr>
          <w:rFonts w:asciiTheme="minorHAnsi" w:hAnsiTheme="minorHAnsi"/>
          <w:b/>
          <w:bCs/>
          <w:color w:val="366092" w:themeColor="accent1"/>
          <w:sz w:val="18"/>
          <w:szCs w:val="18"/>
        </w:rPr>
        <w:fldChar w:fldCharType="end"/>
      </w:r>
      <w:r w:rsidRPr="007B6696">
        <w:rPr>
          <w:rFonts w:asciiTheme="minorHAnsi" w:hAnsiTheme="minorHAnsi"/>
          <w:b/>
          <w:bCs/>
          <w:color w:val="366092" w:themeColor="accent1"/>
          <w:sz w:val="18"/>
          <w:szCs w:val="18"/>
        </w:rPr>
        <w:t>. Oś priorytetowa VI – ocena wskaźników rezultatu strategicznego</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3115"/>
        <w:gridCol w:w="1721"/>
        <w:gridCol w:w="2389"/>
        <w:gridCol w:w="2061"/>
      </w:tblGrid>
      <w:tr w:rsidR="00424449" w:rsidRPr="00A9425C" w:rsidTr="00A9425C">
        <w:trPr>
          <w:tblHeader/>
        </w:trPr>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120" w:after="120"/>
              <w:jc w:val="center"/>
              <w:rPr>
                <w:rFonts w:eastAsia="Calibri" w:cs="Times New Roman"/>
                <w:b/>
                <w:color w:val="FFFFFF" w:themeColor="background1"/>
                <w:sz w:val="20"/>
              </w:rPr>
            </w:pPr>
            <w:r w:rsidRPr="00A9425C">
              <w:rPr>
                <w:b/>
                <w:color w:val="FFFFFF" w:themeColor="background1"/>
                <w:sz w:val="20"/>
              </w:rPr>
              <w:t>wskaźnik rezultatu</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120" w:after="120"/>
              <w:jc w:val="center"/>
              <w:rPr>
                <w:rFonts w:eastAsia="Calibri" w:cs="Times New Roman"/>
                <w:b/>
                <w:color w:val="FFFFFF" w:themeColor="background1"/>
                <w:sz w:val="20"/>
              </w:rPr>
            </w:pPr>
            <w:r w:rsidRPr="00A9425C">
              <w:rPr>
                <w:b/>
                <w:color w:val="FFFFFF" w:themeColor="background1"/>
                <w:sz w:val="20"/>
              </w:rPr>
              <w:t>priorytety inwestycyjne</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120" w:after="120"/>
              <w:jc w:val="center"/>
              <w:rPr>
                <w:rFonts w:eastAsia="Calibri" w:cs="Times New Roman"/>
                <w:b/>
                <w:color w:val="FFFFFF" w:themeColor="background1"/>
                <w:sz w:val="20"/>
              </w:rPr>
            </w:pPr>
            <w:r w:rsidRPr="00A9425C">
              <w:rPr>
                <w:b/>
                <w:color w:val="FFFFFF" w:themeColor="background1"/>
                <w:sz w:val="20"/>
              </w:rPr>
              <w:t>ocena doboru wskaźnika</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120" w:after="120"/>
              <w:jc w:val="center"/>
              <w:rPr>
                <w:b/>
                <w:color w:val="FFFFFF" w:themeColor="background1"/>
                <w:sz w:val="20"/>
              </w:rPr>
            </w:pPr>
            <w:r w:rsidRPr="00A9425C">
              <w:rPr>
                <w:b/>
                <w:color w:val="FFFFFF" w:themeColor="background1"/>
                <w:sz w:val="20"/>
              </w:rPr>
              <w:t>ocena wartości docelowej</w:t>
            </w:r>
          </w:p>
        </w:tc>
      </w:tr>
      <w:tr w:rsidR="00424449" w:rsidRPr="00A9425C" w:rsidTr="00A9425C">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i/>
                <w:sz w:val="20"/>
              </w:rPr>
            </w:pPr>
            <w:r w:rsidRPr="00A9425C">
              <w:rPr>
                <w:i/>
                <w:sz w:val="20"/>
              </w:rPr>
              <w:t>Liczba osób korzystających z zakładów uzdrowiskowych w województwie</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8.2</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rPr>
            </w:pPr>
            <w:r w:rsidRPr="00A9425C">
              <w:rPr>
                <w:sz w:val="20"/>
              </w:rPr>
              <w:t>brak uwag</w:t>
            </w:r>
          </w:p>
        </w:tc>
      </w:tr>
      <w:tr w:rsidR="00424449" w:rsidRPr="00A9425C" w:rsidTr="00A9425C">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i/>
                <w:sz w:val="20"/>
              </w:rPr>
            </w:pPr>
            <w:r w:rsidRPr="00A9425C">
              <w:rPr>
                <w:i/>
                <w:sz w:val="20"/>
              </w:rPr>
              <w:t>Przeciętne dalsze trwanie życia w momencie urodzenia</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9.1</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rPr>
            </w:pPr>
            <w:r w:rsidRPr="00A9425C">
              <w:rPr>
                <w:sz w:val="20"/>
              </w:rPr>
              <w:t>brak uwag</w:t>
            </w:r>
          </w:p>
        </w:tc>
      </w:tr>
      <w:tr w:rsidR="00424449" w:rsidRPr="00A9425C" w:rsidTr="00A9425C">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i/>
                <w:sz w:val="20"/>
              </w:rPr>
            </w:pPr>
            <w:r w:rsidRPr="00A9425C">
              <w:rPr>
                <w:i/>
                <w:sz w:val="20"/>
              </w:rPr>
              <w:t>Liczba miejsc w placówkach stacjonarnej pomocy społecznej na 1000 osób w wieku 65+</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9.1</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rPr>
            </w:pPr>
            <w:r w:rsidRPr="00A9425C">
              <w:rPr>
                <w:sz w:val="20"/>
              </w:rPr>
              <w:t>brak uwag</w:t>
            </w:r>
          </w:p>
        </w:tc>
      </w:tr>
      <w:tr w:rsidR="00424449" w:rsidRPr="00A9425C" w:rsidTr="00A9425C">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rFonts w:eastAsia="Calibri" w:cs="Times New Roman"/>
                <w:i/>
                <w:sz w:val="20"/>
              </w:rPr>
            </w:pPr>
            <w:r w:rsidRPr="00A9425C">
              <w:rPr>
                <w:rFonts w:eastAsia="Calibri" w:cs="Times New Roman"/>
                <w:i/>
                <w:sz w:val="20"/>
              </w:rPr>
              <w:t xml:space="preserve">Osoby korzystające ze świadczeń pomocy społecznej na 10 tys. </w:t>
            </w:r>
            <w:r w:rsidRPr="00A9425C">
              <w:rPr>
                <w:rFonts w:eastAsia="Calibri" w:cs="Times New Roman"/>
                <w:i/>
                <w:sz w:val="20"/>
              </w:rPr>
              <w:lastRenderedPageBreak/>
              <w:t>ludności</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9425C" w:rsidRDefault="00424449" w:rsidP="00A9425C">
            <w:pPr>
              <w:spacing w:before="120" w:after="120"/>
              <w:jc w:val="center"/>
              <w:rPr>
                <w:rFonts w:eastAsia="Calibri" w:cs="Times New Roman"/>
                <w:sz w:val="20"/>
              </w:rPr>
            </w:pPr>
            <w:r w:rsidRPr="00A9425C">
              <w:rPr>
                <w:rFonts w:eastAsia="Calibri" w:cs="Times New Roman"/>
                <w:sz w:val="20"/>
              </w:rPr>
              <w:lastRenderedPageBreak/>
              <w:t>9.2</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rFonts w:eastAsia="Calibri" w:cs="Times New Roman"/>
                <w:sz w:val="20"/>
              </w:rPr>
            </w:pPr>
            <w:r w:rsidRPr="00A9425C">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szCs w:val="18"/>
                <w:highlight w:val="yellow"/>
              </w:rPr>
            </w:pPr>
            <w:r w:rsidRPr="00A9425C">
              <w:rPr>
                <w:sz w:val="20"/>
              </w:rPr>
              <w:t>brak uwag</w:t>
            </w:r>
          </w:p>
        </w:tc>
      </w:tr>
      <w:tr w:rsidR="00424449" w:rsidRPr="00A9425C" w:rsidTr="00A9425C">
        <w:tc>
          <w:tcPr>
            <w:tcW w:w="311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rFonts w:eastAsia="Calibri" w:cs="Times New Roman"/>
                <w:i/>
                <w:sz w:val="20"/>
              </w:rPr>
            </w:pPr>
            <w:r w:rsidRPr="00A9425C">
              <w:rPr>
                <w:rFonts w:eastAsia="Calibri" w:cs="Times New Roman"/>
                <w:i/>
                <w:sz w:val="20"/>
              </w:rPr>
              <w:lastRenderedPageBreak/>
              <w:t>Potencjalna liczba użytkowników infrastruktury opieki nad dziećmi lub edukacyjnej wspartej w programie (CI)</w:t>
            </w:r>
          </w:p>
        </w:tc>
        <w:tc>
          <w:tcPr>
            <w:tcW w:w="172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9425C" w:rsidRDefault="00424449" w:rsidP="00A9425C">
            <w:pPr>
              <w:spacing w:before="120" w:after="120"/>
              <w:jc w:val="center"/>
              <w:rPr>
                <w:rFonts w:eastAsia="Calibri" w:cs="Times New Roman"/>
                <w:sz w:val="20"/>
              </w:rPr>
            </w:pPr>
            <w:r w:rsidRPr="00A9425C">
              <w:rPr>
                <w:rFonts w:eastAsia="Calibri" w:cs="Times New Roman"/>
                <w:sz w:val="20"/>
              </w:rPr>
              <w:t>10.4</w:t>
            </w:r>
          </w:p>
        </w:tc>
        <w:tc>
          <w:tcPr>
            <w:tcW w:w="238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rPr>
            </w:pPr>
            <w:r w:rsidRPr="00A9425C">
              <w:rPr>
                <w:sz w:val="20"/>
              </w:rPr>
              <w:t>brak uwag</w:t>
            </w:r>
          </w:p>
        </w:tc>
        <w:tc>
          <w:tcPr>
            <w:tcW w:w="206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120" w:after="120"/>
              <w:jc w:val="center"/>
              <w:rPr>
                <w:sz w:val="20"/>
              </w:rPr>
            </w:pPr>
            <w:r w:rsidRPr="00A9425C">
              <w:rPr>
                <w:sz w:val="20"/>
              </w:rPr>
              <w:t>brak uwag</w:t>
            </w:r>
          </w:p>
        </w:tc>
      </w:tr>
    </w:tbl>
    <w:p w:rsidR="00424449" w:rsidRPr="007B6696" w:rsidRDefault="00424449" w:rsidP="00424449">
      <w:pPr>
        <w:pStyle w:val="rdo"/>
        <w:rPr>
          <w:rFonts w:asciiTheme="minorHAnsi" w:eastAsia="Calibri" w:hAnsiTheme="minorHAnsi"/>
        </w:rPr>
      </w:pPr>
      <w:r w:rsidRPr="007B6696">
        <w:rPr>
          <w:rFonts w:asciiTheme="minorHAnsi" w:hAnsiTheme="minorHAnsi"/>
        </w:rPr>
        <w:t>Źródło: Opracowanie własne</w:t>
      </w:r>
    </w:p>
    <w:p w:rsidR="00424449" w:rsidRPr="007B6696" w:rsidRDefault="00424449" w:rsidP="00BC2878">
      <w:pPr>
        <w:pStyle w:val="Nagwek4"/>
        <w:rPr>
          <w:rFonts w:asciiTheme="minorHAnsi" w:hAnsiTheme="minorHAnsi"/>
        </w:rPr>
      </w:pPr>
      <w:r w:rsidRPr="007B6696">
        <w:rPr>
          <w:rFonts w:asciiTheme="minorHAnsi" w:hAnsiTheme="minorHAnsi"/>
        </w:rPr>
        <w:t>Wskaźniki typu output</w:t>
      </w:r>
    </w:p>
    <w:p w:rsidR="00424449" w:rsidRPr="00F34C9E" w:rsidRDefault="00424449" w:rsidP="00424449">
      <w:r w:rsidRPr="001F39AD">
        <w:t xml:space="preserve">Wskaźniki typu </w:t>
      </w:r>
      <w:r w:rsidRPr="001F39AD">
        <w:rPr>
          <w:i/>
          <w:iCs/>
        </w:rPr>
        <w:t>output</w:t>
      </w:r>
      <w:r w:rsidRPr="00B35078">
        <w:t xml:space="preserve"> zostały dopasowane do logiki interwencji. </w:t>
      </w:r>
    </w:p>
    <w:p w:rsidR="00424449" w:rsidRDefault="00424449" w:rsidP="00BC2878">
      <w:pPr>
        <w:pStyle w:val="Legenda"/>
      </w:pPr>
      <w:r w:rsidRPr="00F34C9E">
        <w:t xml:space="preserve">Tabela </w:t>
      </w:r>
      <w:r w:rsidR="001B04AC" w:rsidRPr="007B6696">
        <w:fldChar w:fldCharType="begin"/>
      </w:r>
      <w:r w:rsidRPr="00F34C9E">
        <w:instrText xml:space="preserve"> SEQ Tabela \* ARABIC </w:instrText>
      </w:r>
      <w:r w:rsidR="001B04AC" w:rsidRPr="007B6696">
        <w:fldChar w:fldCharType="separate"/>
      </w:r>
      <w:r w:rsidR="00832320">
        <w:rPr>
          <w:noProof/>
        </w:rPr>
        <w:t>23</w:t>
      </w:r>
      <w:r w:rsidR="001B04AC" w:rsidRPr="007B6696">
        <w:rPr>
          <w:noProof/>
        </w:rPr>
        <w:fldChar w:fldCharType="end"/>
      </w:r>
      <w:r w:rsidR="00A9425C">
        <w:t>. Oś priorytetowa V</w:t>
      </w:r>
      <w:r w:rsidRPr="00F34C9E">
        <w:t>I – ocena wskaźników typu output</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35"/>
        <w:gridCol w:w="3649"/>
        <w:gridCol w:w="2617"/>
        <w:gridCol w:w="2285"/>
      </w:tblGrid>
      <w:tr w:rsidR="00424449" w:rsidRPr="00A9425C" w:rsidTr="00A9425C">
        <w:trPr>
          <w:tblHeader/>
        </w:trPr>
        <w:tc>
          <w:tcPr>
            <w:tcW w:w="7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Pr="00A9425C" w:rsidRDefault="00424449" w:rsidP="00A9425C">
            <w:pPr>
              <w:spacing w:before="60" w:after="60"/>
              <w:jc w:val="center"/>
              <w:rPr>
                <w:rFonts w:eastAsia="Calibri" w:cs="Times New Roman"/>
                <w:b/>
                <w:color w:val="FFFFFF" w:themeColor="background1"/>
                <w:sz w:val="20"/>
                <w:szCs w:val="18"/>
              </w:rPr>
            </w:pP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60" w:after="60"/>
              <w:jc w:val="center"/>
              <w:rPr>
                <w:rFonts w:eastAsia="Calibri" w:cs="Times New Roman"/>
                <w:b/>
                <w:color w:val="FFFFFF" w:themeColor="background1"/>
                <w:sz w:val="20"/>
                <w:szCs w:val="18"/>
              </w:rPr>
            </w:pPr>
            <w:r w:rsidRPr="00A9425C">
              <w:rPr>
                <w:b/>
                <w:color w:val="FFFFFF" w:themeColor="background1"/>
                <w:sz w:val="20"/>
                <w:szCs w:val="18"/>
              </w:rPr>
              <w:t>wskaźnik</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60" w:after="60"/>
              <w:jc w:val="center"/>
              <w:rPr>
                <w:rFonts w:eastAsia="Calibri" w:cs="Times New Roman"/>
                <w:b/>
                <w:color w:val="FFFFFF" w:themeColor="background1"/>
                <w:sz w:val="20"/>
                <w:szCs w:val="18"/>
              </w:rPr>
            </w:pPr>
            <w:r w:rsidRPr="00A9425C">
              <w:rPr>
                <w:b/>
                <w:color w:val="FFFFFF" w:themeColor="background1"/>
                <w:sz w:val="20"/>
              </w:rPr>
              <w:t>ocena doboru wskaźnika</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9425C" w:rsidRDefault="00424449" w:rsidP="00A9425C">
            <w:pPr>
              <w:spacing w:before="60" w:after="60"/>
              <w:jc w:val="center"/>
              <w:rPr>
                <w:b/>
                <w:color w:val="FFFFFF" w:themeColor="background1"/>
                <w:sz w:val="20"/>
              </w:rPr>
            </w:pPr>
            <w:r w:rsidRPr="00A9425C">
              <w:rPr>
                <w:b/>
                <w:color w:val="FFFFFF" w:themeColor="background1"/>
                <w:sz w:val="20"/>
              </w:rPr>
              <w:t>Ocena wartości docelowej</w:t>
            </w:r>
          </w:p>
        </w:tc>
      </w:tr>
      <w:tr w:rsidR="00424449" w:rsidRPr="00A9425C" w:rsidTr="00A9425C">
        <w:trPr>
          <w:trHeight w:val="668"/>
        </w:trPr>
        <w:tc>
          <w:tcPr>
            <w:tcW w:w="7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rFonts w:eastAsia="Calibri" w:cs="Times New Roman"/>
                <w:b/>
                <w:sz w:val="20"/>
                <w:szCs w:val="18"/>
              </w:rPr>
            </w:pPr>
            <w:r w:rsidRPr="00A9425C">
              <w:rPr>
                <w:b/>
                <w:sz w:val="20"/>
                <w:szCs w:val="18"/>
              </w:rPr>
              <w:t>8.2</w:t>
            </w: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i/>
                <w:color w:val="282828"/>
                <w:sz w:val="20"/>
                <w:szCs w:val="18"/>
              </w:rPr>
            </w:pPr>
            <w:r w:rsidRPr="00A9425C">
              <w:rPr>
                <w:i/>
                <w:color w:val="282828"/>
                <w:sz w:val="20"/>
                <w:szCs w:val="18"/>
              </w:rPr>
              <w:t>Liczba wspartych podmiotów  świadczących kompleksowe usługi sanatoryjne</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60" w:after="60"/>
              <w:jc w:val="center"/>
              <w:rPr>
                <w:rFonts w:eastAsia="Calibri" w:cs="Times New Roman"/>
                <w:sz w:val="20"/>
                <w:szCs w:val="18"/>
              </w:rPr>
            </w:pPr>
            <w:r w:rsidRPr="00A9425C">
              <w:rPr>
                <w:sz w:val="20"/>
              </w:rPr>
              <w:t>wskaźnik dobrany prawidłowo</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60" w:after="60"/>
              <w:jc w:val="center"/>
              <w:rPr>
                <w:rFonts w:eastAsia="Calibri" w:cs="Times New Roman"/>
                <w:sz w:val="20"/>
                <w:szCs w:val="18"/>
              </w:rPr>
            </w:pPr>
            <w:r w:rsidRPr="00A9425C">
              <w:rPr>
                <w:sz w:val="20"/>
              </w:rPr>
              <w:t>brak uwag</w:t>
            </w:r>
          </w:p>
        </w:tc>
      </w:tr>
      <w:tr w:rsidR="00424449" w:rsidRPr="00A9425C" w:rsidTr="00A9425C">
        <w:trPr>
          <w:trHeight w:val="618"/>
        </w:trPr>
        <w:tc>
          <w:tcPr>
            <w:tcW w:w="0" w:type="auto"/>
            <w:vMerge w:val="restart"/>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rFonts w:eastAsia="Calibri" w:cs="Times New Roman"/>
                <w:b/>
                <w:sz w:val="20"/>
                <w:szCs w:val="18"/>
              </w:rPr>
            </w:pPr>
            <w:r w:rsidRPr="00A9425C">
              <w:rPr>
                <w:b/>
                <w:sz w:val="20"/>
                <w:szCs w:val="18"/>
              </w:rPr>
              <w:t>9.1</w:t>
            </w: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i/>
                <w:color w:val="282828"/>
                <w:sz w:val="20"/>
                <w:szCs w:val="18"/>
              </w:rPr>
            </w:pPr>
            <w:r w:rsidRPr="00A9425C">
              <w:rPr>
                <w:i/>
                <w:color w:val="282828"/>
                <w:sz w:val="20"/>
                <w:szCs w:val="18"/>
              </w:rPr>
              <w:t>Liczba wspartych podmiotów leczniczych</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60" w:after="60"/>
              <w:jc w:val="center"/>
              <w:rPr>
                <w:rFonts w:eastAsia="Calibri" w:cs="Times New Roman"/>
                <w:sz w:val="20"/>
                <w:szCs w:val="18"/>
              </w:rPr>
            </w:pPr>
            <w:r w:rsidRPr="00A9425C">
              <w:rPr>
                <w:sz w:val="20"/>
              </w:rPr>
              <w:t>wskaźnik dobrany prawidłowo</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spacing w:before="60" w:after="60"/>
              <w:jc w:val="center"/>
              <w:rPr>
                <w:sz w:val="20"/>
              </w:rPr>
            </w:pPr>
            <w:r w:rsidRPr="00A9425C">
              <w:rPr>
                <w:sz w:val="20"/>
              </w:rPr>
              <w:t>brak uwag</w:t>
            </w:r>
          </w:p>
        </w:tc>
      </w:tr>
      <w:tr w:rsidR="00424449" w:rsidRPr="00A9425C" w:rsidTr="00A9425C">
        <w:trPr>
          <w:trHeight w:val="663"/>
        </w:trPr>
        <w:tc>
          <w:tcPr>
            <w:tcW w:w="735" w:type="dxa"/>
            <w:vMerge/>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rFonts w:eastAsia="Calibri" w:cs="Times New Roman"/>
                <w:b/>
                <w:sz w:val="20"/>
                <w:szCs w:val="18"/>
              </w:rPr>
            </w:pP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9425C" w:rsidRDefault="00424449" w:rsidP="00A9425C">
            <w:pPr>
              <w:spacing w:before="60" w:after="60"/>
              <w:jc w:val="center"/>
              <w:rPr>
                <w:i/>
                <w:color w:val="282828"/>
                <w:sz w:val="20"/>
                <w:szCs w:val="18"/>
              </w:rPr>
            </w:pPr>
            <w:r w:rsidRPr="00A9425C">
              <w:rPr>
                <w:i/>
                <w:color w:val="282828"/>
                <w:sz w:val="20"/>
                <w:szCs w:val="18"/>
              </w:rPr>
              <w:t>Liczba wybudowanych/ przebudowanych obiektów, w których realizowane są usługi aktywizacji społeczno-zawodowej</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rFonts w:eastAsia="Calibri" w:cs="Times New Roman"/>
                <w:sz w:val="20"/>
                <w:szCs w:val="18"/>
              </w:rPr>
            </w:pPr>
            <w:r w:rsidRPr="00A9425C">
              <w:rPr>
                <w:sz w:val="20"/>
              </w:rPr>
              <w:t>wskaźnik dobrany prawidłowo</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sz w:val="20"/>
              </w:rPr>
            </w:pPr>
            <w:r w:rsidRPr="00A9425C">
              <w:rPr>
                <w:sz w:val="20"/>
              </w:rPr>
              <w:t>brak uwag</w:t>
            </w:r>
          </w:p>
        </w:tc>
      </w:tr>
      <w:tr w:rsidR="00424449" w:rsidRPr="00A9425C" w:rsidTr="00A9425C">
        <w:trPr>
          <w:trHeight w:val="663"/>
        </w:trPr>
        <w:tc>
          <w:tcPr>
            <w:tcW w:w="7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b/>
                <w:sz w:val="20"/>
                <w:szCs w:val="18"/>
              </w:rPr>
            </w:pPr>
            <w:r w:rsidRPr="00A9425C">
              <w:rPr>
                <w:b/>
                <w:sz w:val="20"/>
                <w:szCs w:val="18"/>
              </w:rPr>
              <w:t>9.2</w:t>
            </w: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5100FF">
            <w:pPr>
              <w:spacing w:before="60" w:after="60"/>
              <w:jc w:val="center"/>
              <w:rPr>
                <w:i/>
                <w:color w:val="282828"/>
                <w:sz w:val="20"/>
                <w:szCs w:val="18"/>
              </w:rPr>
            </w:pPr>
            <w:r w:rsidRPr="00A9425C">
              <w:rPr>
                <w:i/>
                <w:color w:val="282828"/>
                <w:sz w:val="20"/>
                <w:szCs w:val="18"/>
              </w:rPr>
              <w:t xml:space="preserve">Powierzchnia </w:t>
            </w:r>
            <w:r w:rsidR="005100FF">
              <w:rPr>
                <w:i/>
                <w:color w:val="282828"/>
                <w:sz w:val="20"/>
                <w:szCs w:val="18"/>
              </w:rPr>
              <w:t>obszarów objętych rewitalizacją</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sz w:val="20"/>
              </w:rPr>
            </w:pPr>
            <w:r w:rsidRPr="00A9425C">
              <w:rPr>
                <w:sz w:val="20"/>
              </w:rPr>
              <w:t>wskaźnik dobrany prawidłowo</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sz w:val="20"/>
              </w:rPr>
            </w:pPr>
            <w:r w:rsidRPr="00A9425C">
              <w:rPr>
                <w:sz w:val="20"/>
              </w:rPr>
              <w:t>brak uwag</w:t>
            </w:r>
          </w:p>
        </w:tc>
      </w:tr>
      <w:tr w:rsidR="00424449" w:rsidRPr="00A9425C" w:rsidTr="00A9425C">
        <w:trPr>
          <w:trHeight w:val="752"/>
        </w:trPr>
        <w:tc>
          <w:tcPr>
            <w:tcW w:w="7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rFonts w:eastAsia="Calibri" w:cs="Times New Roman"/>
                <w:b/>
                <w:sz w:val="20"/>
                <w:szCs w:val="18"/>
              </w:rPr>
            </w:pPr>
            <w:r w:rsidRPr="00A9425C">
              <w:rPr>
                <w:rFonts w:eastAsia="Calibri" w:cs="Times New Roman"/>
                <w:b/>
                <w:sz w:val="20"/>
                <w:szCs w:val="18"/>
              </w:rPr>
              <w:t>10.4</w:t>
            </w:r>
          </w:p>
        </w:tc>
        <w:tc>
          <w:tcPr>
            <w:tcW w:w="36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9425C" w:rsidRDefault="00424449" w:rsidP="00A9425C">
            <w:pPr>
              <w:spacing w:before="60" w:after="60"/>
              <w:jc w:val="center"/>
              <w:rPr>
                <w:rFonts w:eastAsia="Calibri" w:cs="Times New Roman"/>
                <w:i/>
                <w:color w:val="282828"/>
                <w:sz w:val="20"/>
                <w:szCs w:val="18"/>
              </w:rPr>
            </w:pPr>
            <w:r w:rsidRPr="00A9425C">
              <w:rPr>
                <w:rFonts w:eastAsia="Calibri" w:cs="Times New Roman"/>
                <w:i/>
                <w:color w:val="282828"/>
                <w:sz w:val="20"/>
                <w:szCs w:val="18"/>
              </w:rPr>
              <w:t>Liczba obiektów infrastruktury jednostek organizacyjnych systemu oświaty</w:t>
            </w:r>
          </w:p>
        </w:tc>
        <w:tc>
          <w:tcPr>
            <w:tcW w:w="26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rFonts w:eastAsia="Calibri" w:cs="Times New Roman"/>
                <w:sz w:val="20"/>
                <w:highlight w:val="yellow"/>
              </w:rPr>
            </w:pPr>
            <w:r w:rsidRPr="00A9425C">
              <w:rPr>
                <w:sz w:val="20"/>
              </w:rPr>
              <w:t>wskaźnik dobrany prawidłowo</w:t>
            </w:r>
          </w:p>
        </w:tc>
        <w:tc>
          <w:tcPr>
            <w:tcW w:w="22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9425C" w:rsidRDefault="00424449" w:rsidP="00A9425C">
            <w:pPr>
              <w:jc w:val="center"/>
              <w:rPr>
                <w:rFonts w:eastAsia="Calibri" w:cs="Times New Roman"/>
                <w:sz w:val="20"/>
                <w:highlight w:val="yellow"/>
              </w:rPr>
            </w:pPr>
            <w:r w:rsidRPr="00A9425C">
              <w:rPr>
                <w:sz w:val="20"/>
              </w:rPr>
              <w:t>brak uwag</w:t>
            </w:r>
          </w:p>
        </w:tc>
      </w:tr>
    </w:tbl>
    <w:p w:rsidR="00424449" w:rsidRDefault="00424449" w:rsidP="00BC2878">
      <w:pPr>
        <w:pStyle w:val="rdo"/>
        <w:rPr>
          <w:rFonts w:asciiTheme="minorHAnsi" w:hAnsiTheme="minorHAnsi"/>
        </w:rPr>
      </w:pPr>
      <w:r w:rsidRPr="007B6696">
        <w:rPr>
          <w:rFonts w:asciiTheme="minorHAnsi" w:hAnsiTheme="minorHAnsi"/>
        </w:rPr>
        <w:t>Źródło: Opracowanie własne</w:t>
      </w:r>
    </w:p>
    <w:p w:rsidR="00424449" w:rsidRPr="007B6696" w:rsidRDefault="00424449" w:rsidP="00BC2878">
      <w:pPr>
        <w:pStyle w:val="rdo"/>
        <w:rPr>
          <w:rFonts w:asciiTheme="minorHAnsi" w:eastAsia="Calibri" w:hAnsiTheme="minorHAnsi"/>
        </w:rPr>
      </w:pPr>
    </w:p>
    <w:p w:rsidR="00424449" w:rsidRPr="007B6696" w:rsidRDefault="00424449" w:rsidP="00BC2878">
      <w:pPr>
        <w:pStyle w:val="Nagwek4"/>
        <w:rPr>
          <w:rFonts w:asciiTheme="minorHAnsi" w:hAnsiTheme="minorHAnsi"/>
        </w:rPr>
      </w:pPr>
      <w:r w:rsidRPr="007B6696">
        <w:rPr>
          <w:rFonts w:asciiTheme="minorHAnsi" w:hAnsiTheme="minorHAnsi"/>
        </w:rPr>
        <w:t>Wskaźniki wybrane do ram wykonania</w:t>
      </w:r>
    </w:p>
    <w:p w:rsidR="00424449" w:rsidRPr="001F39AD" w:rsidRDefault="00424449" w:rsidP="00BC2878">
      <w:r w:rsidRPr="001F39AD">
        <w:t xml:space="preserve">W Projekcie RPO nie zaproponowano wskaźników do ram wykonania osi priorytetowej. W tabeli przedstawiliśmy naszą propozycję doborów wskaźników. </w:t>
      </w:r>
    </w:p>
    <w:p w:rsidR="00424449" w:rsidRPr="006B1C41" w:rsidRDefault="00424449" w:rsidP="00A9425C">
      <w:pPr>
        <w:pStyle w:val="NormalnyWeb"/>
        <w:keepNext/>
        <w:jc w:val="center"/>
        <w:rPr>
          <w:rFonts w:asciiTheme="minorHAnsi" w:hAnsiTheme="minorHAnsi"/>
          <w:b/>
          <w:bCs/>
          <w:color w:val="366092" w:themeColor="accent1"/>
          <w:sz w:val="18"/>
          <w:szCs w:val="18"/>
        </w:rPr>
      </w:pPr>
      <w:r w:rsidRPr="007B6696">
        <w:rPr>
          <w:rFonts w:asciiTheme="minorHAnsi" w:hAnsiTheme="minorHAnsi"/>
          <w:b/>
          <w:bCs/>
          <w:color w:val="366092" w:themeColor="accent1"/>
          <w:sz w:val="18"/>
          <w:szCs w:val="18"/>
        </w:rPr>
        <w:t xml:space="preserve">Tabela </w:t>
      </w:r>
      <w:r w:rsidR="001B04AC" w:rsidRPr="007B6696">
        <w:rPr>
          <w:rFonts w:asciiTheme="minorHAnsi" w:hAnsiTheme="minorHAnsi"/>
          <w:b/>
          <w:bCs/>
          <w:color w:val="366092" w:themeColor="accent1"/>
          <w:sz w:val="18"/>
          <w:szCs w:val="18"/>
        </w:rPr>
        <w:fldChar w:fldCharType="begin"/>
      </w:r>
      <w:r w:rsidRPr="007B6696">
        <w:rPr>
          <w:rFonts w:asciiTheme="minorHAnsi" w:hAnsiTheme="minorHAnsi"/>
          <w:b/>
          <w:bCs/>
          <w:color w:val="366092" w:themeColor="accent1"/>
          <w:sz w:val="18"/>
          <w:szCs w:val="18"/>
        </w:rPr>
        <w:instrText xml:space="preserve"> SEQ Tabela \* ARABIC </w:instrText>
      </w:r>
      <w:r w:rsidR="001B04AC" w:rsidRPr="007B6696">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24</w:t>
      </w:r>
      <w:r w:rsidR="001B04AC" w:rsidRPr="007B6696">
        <w:rPr>
          <w:rFonts w:asciiTheme="minorHAnsi" w:hAnsiTheme="minorHAnsi"/>
          <w:b/>
          <w:bCs/>
          <w:color w:val="366092" w:themeColor="accent1"/>
          <w:sz w:val="18"/>
          <w:szCs w:val="18"/>
        </w:rPr>
        <w:fldChar w:fldCharType="end"/>
      </w:r>
      <w:r w:rsidRPr="007B6696">
        <w:rPr>
          <w:rFonts w:asciiTheme="minorHAnsi" w:hAnsiTheme="minorHAnsi"/>
          <w:b/>
          <w:bCs/>
          <w:color w:val="366092" w:themeColor="accent1"/>
          <w:sz w:val="18"/>
          <w:szCs w:val="18"/>
        </w:rPr>
        <w:t xml:space="preserve">. Oś priorytetowa VI – </w:t>
      </w:r>
      <w:r w:rsidRPr="006B1C41">
        <w:rPr>
          <w:rFonts w:asciiTheme="minorHAnsi" w:hAnsiTheme="minorHAnsi"/>
          <w:b/>
          <w:bCs/>
          <w:color w:val="366092" w:themeColor="accent1"/>
          <w:sz w:val="18"/>
          <w:szCs w:val="18"/>
        </w:rPr>
        <w:t>ocena wskaźników wybranych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056"/>
        <w:gridCol w:w="2772"/>
        <w:gridCol w:w="2458"/>
      </w:tblGrid>
      <w:tr w:rsidR="00424449" w:rsidTr="00A9425C">
        <w:trPr>
          <w:tblHeader/>
        </w:trPr>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A9425C">
            <w:pPr>
              <w:spacing w:before="120" w:after="120"/>
              <w:jc w:val="center"/>
              <w:rPr>
                <w:b/>
                <w:color w:val="FFFFFF" w:themeColor="background1"/>
                <w:sz w:val="20"/>
              </w:rPr>
            </w:pPr>
            <w:r>
              <w:rPr>
                <w:b/>
                <w:color w:val="FFFFFF" w:themeColor="background1"/>
                <w:sz w:val="20"/>
              </w:rPr>
              <w:t>wskaźnik rezultatu</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A9425C">
            <w:pPr>
              <w:spacing w:before="120" w:after="120"/>
              <w:jc w:val="center"/>
              <w:rPr>
                <w:b/>
                <w:color w:val="FFFFFF" w:themeColor="background1"/>
                <w:sz w:val="20"/>
              </w:rPr>
            </w:pPr>
            <w:r>
              <w:rPr>
                <w:b/>
                <w:color w:val="FFFFFF" w:themeColor="background1"/>
                <w:sz w:val="20"/>
              </w:rPr>
              <w:t>ocena doboru wskaźnika</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Default="00424449" w:rsidP="00A9425C">
            <w:pPr>
              <w:spacing w:before="120" w:after="120"/>
              <w:jc w:val="center"/>
              <w:rPr>
                <w:b/>
                <w:color w:val="FFFFFF" w:themeColor="background1"/>
                <w:sz w:val="20"/>
              </w:rPr>
            </w:pPr>
            <w:r>
              <w:rPr>
                <w:b/>
                <w:color w:val="FFFFFF" w:themeColor="background1"/>
                <w:sz w:val="20"/>
              </w:rPr>
              <w:t>ocena wartości docelowej</w:t>
            </w:r>
          </w:p>
        </w:tc>
      </w:tr>
      <w:tr w:rsidR="00424449" w:rsidTr="00A9425C">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BB2CAD" w:rsidRDefault="00424449" w:rsidP="00A9425C">
            <w:pPr>
              <w:spacing w:before="60" w:after="60"/>
              <w:jc w:val="center"/>
              <w:rPr>
                <w:rFonts w:ascii="Calibri" w:eastAsia="Calibri" w:hAnsi="Calibri" w:cs="Times New Roman"/>
                <w:i/>
                <w:color w:val="282828"/>
                <w:sz w:val="20"/>
                <w:szCs w:val="18"/>
              </w:rPr>
            </w:pPr>
            <w:r w:rsidRPr="00BB2CAD">
              <w:rPr>
                <w:rFonts w:ascii="Calibri" w:eastAsia="Calibri" w:hAnsi="Calibri" w:cs="Times New Roman"/>
                <w:i/>
                <w:color w:val="282828"/>
                <w:sz w:val="20"/>
                <w:szCs w:val="18"/>
              </w:rPr>
              <w:t>Liczba wspartych podmiotów  świadczących kompleksowe usługi sanatoryjne</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wskaźnik dobrany prawidłowo</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brak uwag</w:t>
            </w:r>
          </w:p>
        </w:tc>
      </w:tr>
      <w:tr w:rsidR="00424449" w:rsidTr="00A9425C">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BB2CAD" w:rsidRDefault="00424449" w:rsidP="00A9425C">
            <w:pPr>
              <w:spacing w:before="60" w:after="60"/>
              <w:jc w:val="center"/>
              <w:rPr>
                <w:rFonts w:ascii="Calibri" w:eastAsia="Calibri" w:hAnsi="Calibri" w:cs="Times New Roman"/>
                <w:i/>
                <w:color w:val="282828"/>
                <w:sz w:val="20"/>
                <w:szCs w:val="18"/>
              </w:rPr>
            </w:pPr>
            <w:r w:rsidRPr="00BB2CAD">
              <w:rPr>
                <w:rFonts w:ascii="Calibri" w:eastAsia="Calibri" w:hAnsi="Calibri" w:cs="Times New Roman"/>
                <w:i/>
                <w:color w:val="282828"/>
                <w:sz w:val="20"/>
                <w:szCs w:val="18"/>
              </w:rPr>
              <w:t>Liczba wspartych podmiotów leczniczych</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wskaźnik dobrany prawidłowo</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brak uwag</w:t>
            </w:r>
          </w:p>
        </w:tc>
      </w:tr>
      <w:tr w:rsidR="00424449" w:rsidTr="00A9425C">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BB2CAD" w:rsidRDefault="00424449" w:rsidP="00A9425C">
            <w:pPr>
              <w:spacing w:before="60" w:after="60"/>
              <w:jc w:val="center"/>
              <w:rPr>
                <w:rFonts w:ascii="Calibri" w:eastAsia="Calibri" w:hAnsi="Calibri" w:cs="Times New Roman"/>
                <w:i/>
                <w:color w:val="282828"/>
                <w:sz w:val="20"/>
                <w:szCs w:val="18"/>
              </w:rPr>
            </w:pPr>
            <w:r w:rsidRPr="00BB2CAD">
              <w:rPr>
                <w:rFonts w:ascii="Calibri" w:eastAsia="Calibri" w:hAnsi="Calibri" w:cs="Times New Roman"/>
                <w:i/>
                <w:color w:val="282828"/>
                <w:sz w:val="20"/>
                <w:szCs w:val="18"/>
              </w:rPr>
              <w:t>Liczba obiektów infrastruktury jednostek organizacyjnych systemu oświaty</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wskaźnik dobrany prawidłowo</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brak uwag</w:t>
            </w:r>
          </w:p>
        </w:tc>
      </w:tr>
      <w:tr w:rsidR="00424449" w:rsidTr="00A9425C">
        <w:tc>
          <w:tcPr>
            <w:tcW w:w="405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BB2CAD" w:rsidRDefault="00424449" w:rsidP="00A9425C">
            <w:pPr>
              <w:spacing w:before="60" w:after="60"/>
              <w:jc w:val="center"/>
              <w:rPr>
                <w:rFonts w:ascii="Calibri" w:eastAsia="Calibri" w:hAnsi="Calibri" w:cs="Times New Roman"/>
                <w:i/>
                <w:color w:val="282828"/>
                <w:sz w:val="20"/>
                <w:szCs w:val="18"/>
              </w:rPr>
            </w:pPr>
            <w:r w:rsidRPr="00BB2CAD">
              <w:rPr>
                <w:rFonts w:ascii="Calibri" w:eastAsia="Calibri" w:hAnsi="Calibri" w:cs="Times New Roman"/>
                <w:i/>
                <w:color w:val="282828"/>
                <w:sz w:val="20"/>
                <w:szCs w:val="18"/>
              </w:rPr>
              <w:lastRenderedPageBreak/>
              <w:t>Całkowita kwota wydatków kwalifikowalnych</w:t>
            </w:r>
          </w:p>
        </w:tc>
        <w:tc>
          <w:tcPr>
            <w:tcW w:w="27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wskaźnik dobrany prawidłowo</w:t>
            </w:r>
          </w:p>
        </w:tc>
        <w:tc>
          <w:tcPr>
            <w:tcW w:w="24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Default="00424449" w:rsidP="00A9425C">
            <w:pPr>
              <w:spacing w:before="120" w:after="120"/>
              <w:jc w:val="center"/>
              <w:rPr>
                <w:sz w:val="20"/>
              </w:rPr>
            </w:pPr>
            <w:r>
              <w:rPr>
                <w:sz w:val="20"/>
              </w:rPr>
              <w:t>brak uwag</w:t>
            </w:r>
          </w:p>
        </w:tc>
      </w:tr>
    </w:tbl>
    <w:p w:rsidR="00424449" w:rsidRDefault="00424449" w:rsidP="00BC2878">
      <w:pPr>
        <w:pStyle w:val="rdo"/>
        <w:rPr>
          <w:rFonts w:asciiTheme="minorHAnsi" w:hAnsiTheme="minorHAnsi"/>
        </w:rPr>
      </w:pPr>
      <w:r w:rsidRPr="007B6696">
        <w:rPr>
          <w:rFonts w:asciiTheme="minorHAnsi" w:hAnsiTheme="minorHAnsi"/>
        </w:rPr>
        <w:t>Źródło: Opracowanie własne</w:t>
      </w:r>
    </w:p>
    <w:p w:rsidR="00424449" w:rsidRPr="007B6696" w:rsidRDefault="00424449" w:rsidP="00BC2878">
      <w:pPr>
        <w:pStyle w:val="rdo"/>
        <w:rPr>
          <w:rFonts w:asciiTheme="minorHAnsi" w:eastAsia="Calibri" w:hAnsiTheme="minorHAnsi"/>
        </w:rPr>
      </w:pPr>
    </w:p>
    <w:p w:rsidR="00424449" w:rsidRPr="007B6696" w:rsidRDefault="00424449" w:rsidP="00BC2878">
      <w:pPr>
        <w:pStyle w:val="Nagwek3"/>
        <w:rPr>
          <w:rFonts w:asciiTheme="minorHAnsi" w:hAnsiTheme="minorHAnsi"/>
          <w:color w:val="366092"/>
        </w:rPr>
      </w:pPr>
      <w:r w:rsidRPr="007B6696">
        <w:rPr>
          <w:rFonts w:asciiTheme="minorHAnsi" w:hAnsiTheme="minorHAnsi"/>
        </w:rPr>
        <w:t>Wkład w realizację celów dokumentów strategicznych i celów polityk horyzontalnych</w:t>
      </w:r>
    </w:p>
    <w:p w:rsidR="00424449" w:rsidRDefault="00424449" w:rsidP="00424449">
      <w:pPr>
        <w:pStyle w:val="Nagwek4"/>
      </w:pPr>
      <w:r>
        <w:t>Cele strategiczne na poziomie europejskim i polityki horyzontalne</w:t>
      </w:r>
    </w:p>
    <w:p w:rsidR="00424449" w:rsidRPr="00497A24" w:rsidRDefault="00424449" w:rsidP="00424449">
      <w:r>
        <w:t xml:space="preserve">Założenia i cele leżące u podstaw interwencji w ramach osi VI i są spójne z wyzwaniami określonymi w kluczowym europejskim dokumencie strategicznym, tj. strategii </w:t>
      </w:r>
      <w:r>
        <w:rPr>
          <w:i/>
        </w:rPr>
        <w:t>Europa 2020</w:t>
      </w:r>
      <w:r>
        <w:t xml:space="preserve"> oraz inicjatywach przewodnich: </w:t>
      </w:r>
      <w:r w:rsidRPr="00497A24">
        <w:rPr>
          <w:i/>
        </w:rPr>
        <w:t>Program na rzecz nowych umiejętności i zatrudnienia</w:t>
      </w:r>
      <w:r>
        <w:rPr>
          <w:i/>
        </w:rPr>
        <w:t xml:space="preserve"> </w:t>
      </w:r>
      <w:r w:rsidRPr="00497A24">
        <w:t xml:space="preserve">oraz </w:t>
      </w:r>
      <w:r w:rsidRPr="00497A24">
        <w:rPr>
          <w:i/>
        </w:rPr>
        <w:t>Europejski program walki z</w:t>
      </w:r>
      <w:r w:rsidR="002F7C58">
        <w:rPr>
          <w:i/>
        </w:rPr>
        <w:t> </w:t>
      </w:r>
      <w:r w:rsidRPr="00497A24">
        <w:rPr>
          <w:i/>
        </w:rPr>
        <w:t xml:space="preserve"> ubóstwem</w:t>
      </w:r>
      <w:r>
        <w:rPr>
          <w:i/>
        </w:rPr>
        <w:t xml:space="preserve"> </w:t>
      </w:r>
      <w:r>
        <w:t xml:space="preserve">oraz inicjatywą </w:t>
      </w:r>
      <w:r w:rsidRPr="00497A24">
        <w:rPr>
          <w:i/>
        </w:rPr>
        <w:t>Nowe umiejętności w nowych miejscach pracy</w:t>
      </w:r>
      <w:r>
        <w:rPr>
          <w:i/>
        </w:rPr>
        <w:t xml:space="preserve">. </w:t>
      </w:r>
    </w:p>
    <w:p w:rsidR="00424449" w:rsidRDefault="00424449" w:rsidP="00424449">
      <w:r>
        <w:t>W pierwszym z dokumentów wskazuje się, że jednym z celów jest wspieranie tworzenia nowych miejsc pracy. Ponadto podkreśla się konieczność dostosowania kompetencji do potrzeb rynku pracy. Podkreśla się szczególnie konieczność dostarczenia odpowiedniego mix-u kompetencji, włączając w</w:t>
      </w:r>
      <w:r w:rsidR="002F7C58">
        <w:t> </w:t>
      </w:r>
      <w:r>
        <w:t xml:space="preserve"> to kompetencje cyfrowe i transferowalne. Podkreśla się też konieczność wyposażenia młodych osób, opuszczających system edukacji, w odpowiednie kompetencje, co wymaga inwestycji w</w:t>
      </w:r>
      <w:r w:rsidR="002F7C58">
        <w:t> </w:t>
      </w:r>
      <w:r>
        <w:t xml:space="preserve"> infrastrukturę. Nacisk został też położony na zwiększenie udziału w kształcenie ustawicznym. </w:t>
      </w:r>
    </w:p>
    <w:p w:rsidR="00424449" w:rsidRPr="0009230B" w:rsidRDefault="00424449" w:rsidP="00424449">
      <w:r>
        <w:t>Walka z ubóstwem jest również jednym z kluczowych celów Europy 2020. Ze względu na złożoność tego zjawiska, konieczne jest uwzględnienie szerokiego spektrum działań, w tym także uwzględnienie faz cyklu życia i różnych potrzeb. Jednym z elementów strategii jest poprawa dostępu do usług, w</w:t>
      </w:r>
      <w:r w:rsidR="002F7C58">
        <w:t> </w:t>
      </w:r>
      <w:r>
        <w:t xml:space="preserve"> tym zwłaszcza usług zdrowotnych w celu ograniczania nierówności w dostępie do usług zdrowotnych. Wsparcia wymagają również rodziny z dziećmi oraz osoby starsze, co wiąże się z</w:t>
      </w:r>
      <w:r w:rsidR="002F7C58">
        <w:t> </w:t>
      </w:r>
      <w:r>
        <w:t xml:space="preserve"> koniecznością zapewnienia dostępu do wysokiej jakości usług społecznej. </w:t>
      </w:r>
    </w:p>
    <w:p w:rsidR="00424449" w:rsidRDefault="00424449" w:rsidP="00424449">
      <w:r>
        <w:t xml:space="preserve">Działania planowane do realizacji w osi VI w bezpośredni sposób przyczynią się również do realizacji zasady równości szans i niedyskryminacji. Planowane inwestycje wyrównają dostęp do usług, w tym szczególnie osób w trudnej sytuacji. </w:t>
      </w:r>
    </w:p>
    <w:p w:rsidR="00424449" w:rsidRDefault="00424449" w:rsidP="00424449">
      <w:pPr>
        <w:pStyle w:val="Nagwek4"/>
      </w:pPr>
      <w:r>
        <w:t>Cele strategiczne na poziomie krajowym</w:t>
      </w:r>
    </w:p>
    <w:p w:rsidR="00424449" w:rsidRDefault="00424449" w:rsidP="00424449">
      <w:r>
        <w:t xml:space="preserve">Interwencja w ramach osi IV przyczyni się do realizacji celów wyznaczonych przez strategie krajowe, w tym KSRR i SRK oraz strategię sektorową </w:t>
      </w:r>
      <w:r>
        <w:rPr>
          <w:i/>
        </w:rPr>
        <w:t>Krajowy Program Przeciwdziałania Ubóstwu</w:t>
      </w:r>
      <w:r>
        <w:t xml:space="preserve">. Analogicznie jak w przypadku polityk europejskich, również w dokumentach polskich nacisk położony jest inwestowanie w wysokiej jakości edukację oraz ograniczanie wykluczenia społecznego. </w:t>
      </w:r>
    </w:p>
    <w:p w:rsidR="00424449" w:rsidRDefault="00424449" w:rsidP="00424449">
      <w:r>
        <w:t xml:space="preserve">Z kolei interwencja w priorytetach 9.1 i 9.2 będzie miała bezpośredni wpływ na osiągniecie założeń kierunku </w:t>
      </w:r>
      <w:r w:rsidRPr="001541D1">
        <w:t>III.2.1. Podnoszenie jakości i dostępności usług publicznych</w:t>
      </w:r>
      <w:r>
        <w:t xml:space="preserve"> oraz </w:t>
      </w:r>
      <w:r w:rsidRPr="001541D1">
        <w:t xml:space="preserve">III.1.2. Zmniejszenie ubóstwa w grupach najbardziej nim zagrożonych </w:t>
      </w:r>
      <w:r>
        <w:t>oraz Celu Wzmocnienie mechanizmów terytorialnego równoważenia rozwoju oraz integracja przestrzenna dla rozwijania i pełnego wykorzystania potencjałów regionalnych, określonych w SRK. Planowane działania wpisują się w</w:t>
      </w:r>
      <w:r w:rsidR="002F7C58">
        <w:t> </w:t>
      </w:r>
      <w:r>
        <w:t xml:space="preserve"> pełni w realizację celów Krajowego Programu Przeciwdziałania ubóstwu. </w:t>
      </w:r>
    </w:p>
    <w:p w:rsidR="00424449" w:rsidRDefault="00424449" w:rsidP="00424449">
      <w:r>
        <w:lastRenderedPageBreak/>
        <w:t xml:space="preserve">Natomiast inwestycje infrastrukturalne w system edukacji przyczynią się do osiągnięcia kierunku </w:t>
      </w:r>
      <w:r w:rsidRPr="008C1730">
        <w:t xml:space="preserve">II.4.2. Poprawa jakości kapitału </w:t>
      </w:r>
      <w:r>
        <w:t xml:space="preserve">ludzkiego SRK. Interwencja ta wpisuje się również bezpośrednio w </w:t>
      </w:r>
      <w:r w:rsidRPr="008C1730">
        <w:t>Cel szczegółowy 5: Podniesienie poziomu kompetenc</w:t>
      </w:r>
      <w:r>
        <w:t>ji oraz kwalifikacji obywateli Strategii Rozwoju Kapitału Ludzkiego.</w:t>
      </w:r>
    </w:p>
    <w:p w:rsidR="00424449" w:rsidRDefault="00424449" w:rsidP="00424449">
      <w:pPr>
        <w:pStyle w:val="Nagwek4"/>
      </w:pPr>
      <w:r>
        <w:t>Cele strategiczne województwa podkarpackiego</w:t>
      </w:r>
    </w:p>
    <w:p w:rsidR="00424449" w:rsidRDefault="00424449" w:rsidP="00424449">
      <w:r>
        <w:t xml:space="preserve">RPO WP 2014-2020 będzie kluczowym narzędziem dla realizacji celów określonych w </w:t>
      </w:r>
      <w:r>
        <w:rPr>
          <w:i/>
        </w:rPr>
        <w:t>Strategii Rozwoju Województwa Podkarpackiego.</w:t>
      </w:r>
      <w:r>
        <w:rPr>
          <w:rStyle w:val="Odwoanieprzypisudolnego"/>
          <w:i/>
        </w:rPr>
        <w:footnoteReference w:id="59"/>
      </w:r>
      <w:r>
        <w:rPr>
          <w:i/>
        </w:rPr>
        <w:t xml:space="preserve"> </w:t>
      </w:r>
      <w:r>
        <w:t>Interwencja w ramach PI 9.1 jest spójna z obszarem 2</w:t>
      </w:r>
      <w:r w:rsidR="002F7C58">
        <w:t> </w:t>
      </w:r>
      <w:r>
        <w:t xml:space="preserve"> </w:t>
      </w:r>
      <w:r>
        <w:rPr>
          <w:i/>
        </w:rPr>
        <w:t>kapitał ludzki i społeczny</w:t>
      </w:r>
      <w:r w:rsidRPr="003A7D03">
        <w:t xml:space="preserve"> </w:t>
      </w:r>
      <w:r>
        <w:t>w zakresie priorytetu 2.4</w:t>
      </w:r>
      <w:r w:rsidRPr="003A7D03">
        <w:t xml:space="preserve"> </w:t>
      </w:r>
      <w:r>
        <w:t>Włączenie społecznie, gdzie przewiduje się wsparcie dla usług społecznych. Interwencja przyczyni się również do realizacji priorytetu 2.5 zdrowie publiczne, szczególnie w zakresie poprawy</w:t>
      </w:r>
      <w:r w:rsidRPr="003A7D03">
        <w:t xml:space="preserve"> dostępu do spe</w:t>
      </w:r>
      <w:r>
        <w:t xml:space="preserve">cjalistycznej opieki medycznej. Interwencja w ramach PI 9.2 wpisuje się w dwa obszary. W strategii została uwzględniona w ramach kierunku </w:t>
      </w:r>
      <w:r w:rsidRPr="003A7D03">
        <w:t>3.5. Spójność przestrzenna i wzmacnianie funkcji biegunów wzrostu</w:t>
      </w:r>
      <w:r>
        <w:t xml:space="preserve">, przy czym w opisie podkreśla się cele społeczne i związane z ożywieniem. Równocześnie projekty rewitalizacyjne będą miały również wpływ na osiągnięcie celów związanych z wykluczeniem społecznym.  Inwestycje w PI 10.4. wpisują się w pełni w priorytet </w:t>
      </w:r>
      <w:r w:rsidRPr="003A7D03">
        <w:t>2.1. Edukacja</w:t>
      </w:r>
      <w:r>
        <w:t>. Przyczynią się one do p</w:t>
      </w:r>
      <w:r w:rsidRPr="003A7D03">
        <w:t>oprawa jakości i dostępności usług edukacyjnych</w:t>
      </w:r>
      <w:r>
        <w:t>, jak również do tworzenia atrakcyjnej oferty edukacyjnej dostosowanej do zmieniającego się regionalnego rynku pracy, postępu technologicznego oraz potrzeb branż kluczowych gospodarki regionu. Będzie również mieć wkład w k</w:t>
      </w:r>
      <w:r w:rsidRPr="00293DF8">
        <w:t>ształtowanie i promocja postaw związanych z uczeniem się przez całe życie</w:t>
      </w:r>
      <w:r>
        <w:t>.</w:t>
      </w:r>
    </w:p>
    <w:p w:rsidR="00424449" w:rsidRDefault="00424449">
      <w:pPr>
        <w:jc w:val="left"/>
      </w:pPr>
      <w:r>
        <w:br w:type="page"/>
      </w:r>
    </w:p>
    <w:p w:rsidR="00424449" w:rsidRDefault="00424449" w:rsidP="009348FF">
      <w:pPr>
        <w:pStyle w:val="Nagwek2"/>
        <w:rPr>
          <w:rFonts w:asciiTheme="minorHAnsi" w:hAnsiTheme="minorHAnsi"/>
          <w:i/>
        </w:rPr>
      </w:pPr>
      <w:bookmarkStart w:id="21" w:name="_Toc375208055"/>
      <w:bookmarkStart w:id="22" w:name="_Toc384914408"/>
      <w:bookmarkStart w:id="23" w:name="_Toc373706176"/>
      <w:r w:rsidRPr="0090295D">
        <w:rPr>
          <w:rFonts w:asciiTheme="minorHAnsi" w:hAnsiTheme="minorHAnsi"/>
        </w:rPr>
        <w:lastRenderedPageBreak/>
        <w:t xml:space="preserve">Oś </w:t>
      </w:r>
      <w:r>
        <w:rPr>
          <w:rFonts w:asciiTheme="minorHAnsi" w:hAnsiTheme="minorHAnsi"/>
        </w:rPr>
        <w:t xml:space="preserve">priorytetowa </w:t>
      </w:r>
      <w:r w:rsidRPr="0090295D">
        <w:rPr>
          <w:rFonts w:asciiTheme="minorHAnsi" w:hAnsiTheme="minorHAnsi"/>
        </w:rPr>
        <w:t>VI</w:t>
      </w:r>
      <w:r>
        <w:rPr>
          <w:rFonts w:asciiTheme="minorHAnsi" w:hAnsiTheme="minorHAnsi"/>
        </w:rPr>
        <w:t>I</w:t>
      </w:r>
      <w:r>
        <w:rPr>
          <w:rFonts w:asciiTheme="minorHAnsi" w:hAnsiTheme="minorHAnsi"/>
          <w:i/>
        </w:rPr>
        <w:t>. Regionalny rynek pracy</w:t>
      </w:r>
      <w:bookmarkEnd w:id="21"/>
      <w:bookmarkEnd w:id="22"/>
    </w:p>
    <w:p w:rsidR="00424449" w:rsidRDefault="00424449" w:rsidP="009348FF">
      <w:pPr>
        <w:pStyle w:val="Nagwek3"/>
        <w:rPr>
          <w:rFonts w:asciiTheme="minorHAnsi" w:hAnsiTheme="minorHAnsi"/>
        </w:rPr>
      </w:pPr>
      <w:r>
        <w:rPr>
          <w:rFonts w:asciiTheme="minorHAnsi" w:hAnsiTheme="minorHAnsi"/>
        </w:rPr>
        <w:t>Ocena przesłanek interwencji</w:t>
      </w:r>
    </w:p>
    <w:p w:rsidR="00424449" w:rsidRDefault="00424449" w:rsidP="009348FF">
      <w:r>
        <w:t xml:space="preserve">W diagnozie zawartej w sekcji 1.1.1 </w:t>
      </w:r>
      <w:r w:rsidRPr="00C9387C">
        <w:t>RPO WP 2014-2020</w:t>
      </w:r>
      <w:r>
        <w:t xml:space="preserve"> odniesiono się do wszystkich obszarów będących przedmiotem interwencji w ramach osi VII: </w:t>
      </w:r>
      <w:r>
        <w:rPr>
          <w:i/>
          <w:iCs/>
        </w:rPr>
        <w:t xml:space="preserve">Regionalny rynek pracy. </w:t>
      </w:r>
      <w:r>
        <w:rPr>
          <w:iCs/>
        </w:rPr>
        <w:t xml:space="preserve">Przedstawione informacje </w:t>
      </w:r>
      <w:r>
        <w:t xml:space="preserve">znajdują odzwierciedlenie w danych statystycznych i cytowanych dokumentach źródłowych. Są tym samym odpowiednim uzasadnieniem dla wyboru poszczególnych priorytetów inwestycyjnych i zaplanowanych kierunków wsparcia w każdym PI. Sam fakt potrzeby interwencji w ramach osi VII nie budzi kontrowersji. </w:t>
      </w:r>
    </w:p>
    <w:p w:rsidR="00424449" w:rsidRDefault="00424449">
      <w:r>
        <w:t>Autorzy programu przedstawili pogłębioną analizę sytuacji na rynku pracy, bazując na dwóch najważniejszych miarach: stopie bezrobocia i wskaźniku zatrudnienia. Dodatkowo, przedstawili strukturę osób bezrobotnych, wskazując przy tym na grupy szczególnie wymagające wsparcia, to jest osoby młode, kobiety, osoby długotrwale bezrobotne i osoby powyżej 50 r. ż., a także mieszkańców wsi i osoby niepełnosprawne. Znalazło to odzwierciedlenie w zapisach programu, w szczególności w</w:t>
      </w:r>
      <w:r w:rsidR="002F7C58">
        <w:t> </w:t>
      </w:r>
      <w:r>
        <w:t>PI 8.5 i 8.7.</w:t>
      </w:r>
    </w:p>
    <w:tbl>
      <w:tblPr>
        <w:tblW w:w="0" w:type="auto"/>
        <w:tblLook w:val="04A0"/>
      </w:tblPr>
      <w:tblGrid>
        <w:gridCol w:w="4643"/>
        <w:gridCol w:w="4643"/>
      </w:tblGrid>
      <w:tr w:rsidR="00424449" w:rsidRPr="00E87D06" w:rsidTr="00424449">
        <w:trPr>
          <w:trHeight w:val="60"/>
        </w:trPr>
        <w:tc>
          <w:tcPr>
            <w:tcW w:w="4643" w:type="dxa"/>
          </w:tcPr>
          <w:p w:rsidR="00424449" w:rsidRPr="00E87D06" w:rsidRDefault="00424449" w:rsidP="00424449">
            <w:pPr>
              <w:spacing w:before="60" w:after="60" w:line="240" w:lineRule="auto"/>
              <w:jc w:val="center"/>
              <w:rPr>
                <w:b/>
                <w:bCs/>
                <w:color w:val="366092" w:themeColor="accent1"/>
                <w:sz w:val="18"/>
                <w:szCs w:val="18"/>
              </w:rPr>
            </w:pPr>
            <w:r w:rsidRPr="00E87D06">
              <w:rPr>
                <w:b/>
                <w:bCs/>
                <w:color w:val="366092" w:themeColor="accent1"/>
                <w:sz w:val="18"/>
                <w:szCs w:val="18"/>
              </w:rPr>
              <w:t xml:space="preserve">Wykres </w:t>
            </w:r>
            <w:r w:rsidR="001B04AC" w:rsidRPr="00E87D06">
              <w:rPr>
                <w:b/>
                <w:bCs/>
                <w:color w:val="366092" w:themeColor="accent1"/>
                <w:sz w:val="18"/>
                <w:szCs w:val="18"/>
              </w:rPr>
              <w:fldChar w:fldCharType="begin"/>
            </w:r>
            <w:r w:rsidRPr="00E87D06">
              <w:rPr>
                <w:b/>
                <w:bCs/>
                <w:color w:val="366092" w:themeColor="accent1"/>
                <w:sz w:val="18"/>
                <w:szCs w:val="18"/>
              </w:rPr>
              <w:instrText xml:space="preserve"> SEQ Wykres \* ARABIC </w:instrText>
            </w:r>
            <w:r w:rsidR="001B04AC" w:rsidRPr="00E87D06">
              <w:rPr>
                <w:b/>
                <w:bCs/>
                <w:color w:val="366092" w:themeColor="accent1"/>
                <w:sz w:val="18"/>
                <w:szCs w:val="18"/>
              </w:rPr>
              <w:fldChar w:fldCharType="separate"/>
            </w:r>
            <w:r w:rsidR="00832320">
              <w:rPr>
                <w:b/>
                <w:bCs/>
                <w:noProof/>
                <w:color w:val="366092" w:themeColor="accent1"/>
                <w:sz w:val="18"/>
                <w:szCs w:val="18"/>
              </w:rPr>
              <w:t>20</w:t>
            </w:r>
            <w:r w:rsidR="001B04AC" w:rsidRPr="00E87D06">
              <w:rPr>
                <w:b/>
                <w:bCs/>
                <w:noProof/>
                <w:color w:val="366092" w:themeColor="accent1"/>
                <w:sz w:val="18"/>
                <w:szCs w:val="18"/>
              </w:rPr>
              <w:fldChar w:fldCharType="end"/>
            </w:r>
            <w:r w:rsidRPr="00E87D06">
              <w:rPr>
                <w:b/>
                <w:bCs/>
                <w:color w:val="366092" w:themeColor="accent1"/>
                <w:sz w:val="18"/>
                <w:szCs w:val="18"/>
              </w:rPr>
              <w:t xml:space="preserve">. </w:t>
            </w:r>
            <w:r>
              <w:rPr>
                <w:b/>
                <w:bCs/>
                <w:color w:val="366092" w:themeColor="accent1"/>
                <w:sz w:val="18"/>
                <w:szCs w:val="18"/>
              </w:rPr>
              <w:t>Odsetek osób długotrwale bezrobotnych wśród osób bezrobotnych w latach 2009-2013. Stan na XII.</w:t>
            </w:r>
          </w:p>
        </w:tc>
        <w:tc>
          <w:tcPr>
            <w:tcW w:w="4643" w:type="dxa"/>
          </w:tcPr>
          <w:p w:rsidR="00424449" w:rsidRPr="00E87D06" w:rsidRDefault="00424449" w:rsidP="00424449">
            <w:pPr>
              <w:spacing w:before="60" w:after="60" w:line="240" w:lineRule="auto"/>
              <w:jc w:val="center"/>
              <w:rPr>
                <w:rFonts w:eastAsia="Times New Roman"/>
                <w:b/>
                <w:bCs/>
                <w:color w:val="366092" w:themeColor="accent1"/>
                <w:sz w:val="18"/>
                <w:szCs w:val="18"/>
              </w:rPr>
            </w:pPr>
            <w:r w:rsidRPr="00E87D06">
              <w:rPr>
                <w:b/>
                <w:bCs/>
                <w:color w:val="366092" w:themeColor="accent1"/>
                <w:sz w:val="18"/>
                <w:szCs w:val="18"/>
              </w:rPr>
              <w:t xml:space="preserve">Wykres </w:t>
            </w:r>
            <w:r w:rsidR="001B04AC" w:rsidRPr="00E87D06">
              <w:rPr>
                <w:b/>
                <w:bCs/>
                <w:color w:val="366092" w:themeColor="accent1"/>
                <w:sz w:val="18"/>
                <w:szCs w:val="18"/>
              </w:rPr>
              <w:fldChar w:fldCharType="begin"/>
            </w:r>
            <w:r w:rsidRPr="00E87D06">
              <w:rPr>
                <w:b/>
                <w:bCs/>
                <w:color w:val="366092" w:themeColor="accent1"/>
                <w:sz w:val="18"/>
                <w:szCs w:val="18"/>
              </w:rPr>
              <w:instrText xml:space="preserve"> SEQ Wykres \* ARABIC </w:instrText>
            </w:r>
            <w:r w:rsidR="001B04AC" w:rsidRPr="00E87D06">
              <w:rPr>
                <w:b/>
                <w:bCs/>
                <w:color w:val="366092" w:themeColor="accent1"/>
                <w:sz w:val="18"/>
                <w:szCs w:val="18"/>
              </w:rPr>
              <w:fldChar w:fldCharType="separate"/>
            </w:r>
            <w:r w:rsidR="00832320">
              <w:rPr>
                <w:b/>
                <w:bCs/>
                <w:noProof/>
                <w:color w:val="366092" w:themeColor="accent1"/>
                <w:sz w:val="18"/>
                <w:szCs w:val="18"/>
              </w:rPr>
              <w:t>21</w:t>
            </w:r>
            <w:r w:rsidR="001B04AC" w:rsidRPr="00E87D06">
              <w:rPr>
                <w:b/>
                <w:bCs/>
                <w:noProof/>
                <w:color w:val="366092" w:themeColor="accent1"/>
                <w:sz w:val="18"/>
                <w:szCs w:val="18"/>
              </w:rPr>
              <w:fldChar w:fldCharType="end"/>
            </w:r>
            <w:r w:rsidRPr="00E87D06">
              <w:rPr>
                <w:b/>
                <w:bCs/>
                <w:color w:val="366092" w:themeColor="accent1"/>
                <w:sz w:val="18"/>
                <w:szCs w:val="18"/>
              </w:rPr>
              <w:t xml:space="preserve">. </w:t>
            </w:r>
            <w:r>
              <w:rPr>
                <w:b/>
                <w:bCs/>
                <w:color w:val="366092" w:themeColor="accent1"/>
                <w:sz w:val="18"/>
                <w:szCs w:val="18"/>
              </w:rPr>
              <w:t>Odsetek osób pow. 50 r. ż. wśród osób bezrobotnych w latach 2009-2013. Stan na XII.</w:t>
            </w:r>
          </w:p>
        </w:tc>
      </w:tr>
      <w:tr w:rsidR="00424449" w:rsidRPr="00E87D06" w:rsidTr="00424449">
        <w:trPr>
          <w:trHeight w:val="3162"/>
        </w:trPr>
        <w:tc>
          <w:tcPr>
            <w:tcW w:w="4643" w:type="dxa"/>
            <w:hideMark/>
          </w:tcPr>
          <w:p w:rsidR="00424449" w:rsidRPr="00E87D06" w:rsidRDefault="00424449" w:rsidP="00424449">
            <w:r>
              <w:rPr>
                <w:noProof/>
                <w:lang w:eastAsia="pl-PL"/>
              </w:rPr>
              <w:drawing>
                <wp:inline distT="0" distB="0" distL="0" distR="0">
                  <wp:extent cx="2877820" cy="2158365"/>
                  <wp:effectExtent l="0" t="0" r="0" b="0"/>
                  <wp:docPr id="59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c>
          <w:tcPr>
            <w:tcW w:w="4643" w:type="dxa"/>
            <w:hideMark/>
          </w:tcPr>
          <w:p w:rsidR="00424449" w:rsidRPr="00E87D06" w:rsidRDefault="00424449" w:rsidP="00424449">
            <w:pPr>
              <w:rPr>
                <w:rFonts w:ascii="Calibri" w:eastAsia="Calibri" w:hAnsi="Calibri" w:cs="Times New Roman"/>
              </w:rPr>
            </w:pPr>
            <w:r>
              <w:rPr>
                <w:rFonts w:ascii="Calibri" w:eastAsia="Calibri" w:hAnsi="Calibri" w:cs="Times New Roman"/>
                <w:noProof/>
                <w:lang w:eastAsia="pl-PL"/>
              </w:rPr>
              <w:drawing>
                <wp:inline distT="0" distB="0" distL="0" distR="0">
                  <wp:extent cx="2877820" cy="2158365"/>
                  <wp:effectExtent l="0" t="0" r="0" b="0"/>
                  <wp:docPr id="59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820" cy="2158365"/>
                          </a:xfrm>
                          <a:prstGeom prst="rect">
                            <a:avLst/>
                          </a:prstGeom>
                          <a:noFill/>
                        </pic:spPr>
                      </pic:pic>
                    </a:graphicData>
                  </a:graphic>
                </wp:inline>
              </w:drawing>
            </w:r>
          </w:p>
        </w:tc>
      </w:tr>
      <w:tr w:rsidR="00424449" w:rsidRPr="00E87D06" w:rsidTr="00424449">
        <w:trPr>
          <w:trHeight w:val="60"/>
        </w:trPr>
        <w:tc>
          <w:tcPr>
            <w:tcW w:w="9286" w:type="dxa"/>
            <w:gridSpan w:val="2"/>
          </w:tcPr>
          <w:p w:rsidR="00424449" w:rsidRPr="00E87D06" w:rsidRDefault="00424449" w:rsidP="00424449">
            <w:pPr>
              <w:keepNext/>
              <w:spacing w:before="120" w:after="120" w:line="240" w:lineRule="auto"/>
              <w:jc w:val="center"/>
              <w:rPr>
                <w:rFonts w:ascii="Calibri" w:eastAsia="Batang" w:hAnsi="Calibri" w:cs="Calibri"/>
                <w:i/>
                <w:noProof/>
                <w:sz w:val="20"/>
                <w:szCs w:val="20"/>
                <w:lang w:eastAsia="pl-PL"/>
              </w:rPr>
            </w:pPr>
            <w:r w:rsidRPr="00E87D06">
              <w:rPr>
                <w:rFonts w:ascii="Calibri" w:eastAsia="Batang" w:hAnsi="Calibri" w:cs="Calibri"/>
                <w:i/>
                <w:sz w:val="20"/>
                <w:szCs w:val="20"/>
              </w:rPr>
              <w:t xml:space="preserve">Źródło: </w:t>
            </w:r>
            <w:r w:rsidRPr="00F04D3A">
              <w:rPr>
                <w:rFonts w:ascii="Calibri" w:eastAsia="Batang" w:hAnsi="Calibri" w:cs="Calibri"/>
                <w:i/>
                <w:sz w:val="20"/>
                <w:szCs w:val="20"/>
              </w:rPr>
              <w:t>Stan i struktura bezrobocia w wo</w:t>
            </w:r>
            <w:r>
              <w:rPr>
                <w:rFonts w:ascii="Calibri" w:eastAsia="Batang" w:hAnsi="Calibri" w:cs="Calibri"/>
                <w:i/>
                <w:sz w:val="20"/>
                <w:szCs w:val="20"/>
              </w:rPr>
              <w:t xml:space="preserve">j. podkarpackim w grudniu 2009-2013 r. </w:t>
            </w:r>
            <w:r w:rsidRPr="00F04D3A">
              <w:rPr>
                <w:rFonts w:ascii="Calibri" w:eastAsia="Batang" w:hAnsi="Calibri" w:cs="Calibri"/>
                <w:i/>
                <w:sz w:val="20"/>
                <w:szCs w:val="20"/>
              </w:rPr>
              <w:t>http://www.wup-rzeszow.pl</w:t>
            </w:r>
          </w:p>
        </w:tc>
      </w:tr>
    </w:tbl>
    <w:p w:rsidR="00424449" w:rsidRDefault="00424449"/>
    <w:p w:rsidR="00424449" w:rsidRDefault="00424449">
      <w:r>
        <w:t>Autorzy nie ograniczyli się do przedstawienia danych statystycznych, lecz uzupełnili analizę o dane historyczne i trendy. Istotnym elementem diagnozy jest odniesienie do prognozowanych zmian demograficznych, co stanowi mocne uzasadnienie dla interwencji związanej z aktywnym starzeniem się (PI 8.10). Istotnym elementem diagnozy jest przedstawienie przyczyn występowania analizowanych zjawisk, którym interwencja ma przeciwdziałać. Przykładowo, analiza problematyki niskiej aktywności pracodawców w zakresie podnoszenia kwalifikacji pracowników i trudności w przechodzeniu procesów zmiany gospodarczej stanowi dobre uzasadnienie interwencji w ramach PI 8.9.</w:t>
      </w:r>
    </w:p>
    <w:p w:rsidR="00424449" w:rsidRDefault="00424449">
      <w:r>
        <w:lastRenderedPageBreak/>
        <w:t xml:space="preserve">Ważnym elementem diagnozy są kwestie związane ze zdrowiem mieszkańców regionu. Temu tematowi poświęcono obszerną część w tej sekcji. Przedstawiono w nim wyczerpujące dane związane z sytuacją w regionie, solidnie uzasadniając wsparcie w PI 8.10. </w:t>
      </w:r>
    </w:p>
    <w:p w:rsidR="00424449" w:rsidRDefault="00424449">
      <w:r>
        <w:t>Swoje uzasadnienie w tekście diagnozy ma też interwencja zaplanowania w PI 8.8. Zawężenie wsparcia do tworzenia miejsc opieki dla dzieci do lat 3 jest uzasadnione silną potrzebą minimalizowania deficytu w obszarze tych usług.</w:t>
      </w:r>
    </w:p>
    <w:p w:rsidR="00424449" w:rsidRDefault="00424449" w:rsidP="00424449">
      <w:r>
        <w:t>W diagnozie określono również wyzwania i oczekiwane efekty interwencji. Przyjęta formuła zawiera podstawy dla przyjętej koncentracji tematycznej oraz wyboru publicznego w zakresie wybranych kierunków interwencji. Dzięki temu sekcja 1.1.1 stanowi uzasadnienie dla osi priorytetowej, a</w:t>
      </w:r>
      <w:r w:rsidR="002F7C58">
        <w:t> </w:t>
      </w:r>
      <w:r>
        <w:t xml:space="preserve"> wskazane wyzwania i oczekiwane efekty są łącznikiem pomiędzy diagnozą sytuacji społeczno-ekonomicznej, a częścią zawierającą opis kierunków interwencji, przewidzianych rezultatów oraz grup wymagających wsparcia. </w:t>
      </w:r>
    </w:p>
    <w:p w:rsidR="00092521" w:rsidRDefault="00092521" w:rsidP="008B0D93"/>
    <w:p w:rsidR="00424449" w:rsidRDefault="00424449" w:rsidP="009348FF">
      <w:pPr>
        <w:pStyle w:val="Nagwek3"/>
        <w:rPr>
          <w:rFonts w:asciiTheme="minorHAnsi" w:hAnsiTheme="minorHAnsi"/>
        </w:rPr>
      </w:pPr>
      <w:r>
        <w:rPr>
          <w:rFonts w:asciiTheme="minorHAnsi" w:hAnsiTheme="minorHAnsi"/>
        </w:rPr>
        <w:t>Ocena logiki interwencji i proponowanych form wsparcia</w:t>
      </w:r>
    </w:p>
    <w:p w:rsidR="00424449" w:rsidRDefault="00424449" w:rsidP="009348FF">
      <w:pPr>
        <w:pStyle w:val="Nagwek4"/>
        <w:rPr>
          <w:rFonts w:asciiTheme="minorHAnsi" w:hAnsiTheme="minorHAnsi"/>
        </w:rPr>
      </w:pPr>
      <w:r>
        <w:rPr>
          <w:rFonts w:asciiTheme="minorHAnsi" w:hAnsiTheme="minorHAnsi"/>
        </w:rPr>
        <w:t>Poziom osi priorytetowej</w:t>
      </w:r>
    </w:p>
    <w:p w:rsidR="00424449" w:rsidRPr="00092521" w:rsidRDefault="00424449" w:rsidP="00424449">
      <w:pPr>
        <w:spacing w:after="120"/>
        <w:rPr>
          <w:rFonts w:eastAsia="SimSun"/>
          <w:lang w:eastAsia="pl-PL"/>
        </w:rPr>
      </w:pPr>
      <w:r w:rsidRPr="00092521">
        <w:rPr>
          <w:rFonts w:eastAsia="SimSun"/>
          <w:lang w:eastAsia="pl-PL"/>
        </w:rPr>
        <w:t>Oś priorytetowa obejmuje priorytety inwestycyjne w ramach jednego celu tematycznego oraz finansowane z jednego funduszu. Tym samy konstrukcja osi jest możliwie prosta i nie będzie w</w:t>
      </w:r>
      <w:r w:rsidR="002F7C58">
        <w:rPr>
          <w:rFonts w:eastAsia="SimSun"/>
          <w:lang w:eastAsia="pl-PL"/>
        </w:rPr>
        <w:t> </w:t>
      </w:r>
      <w:r w:rsidRPr="00092521">
        <w:rPr>
          <w:rFonts w:eastAsia="SimSun"/>
          <w:lang w:eastAsia="pl-PL"/>
        </w:rPr>
        <w:t xml:space="preserve"> przyszłości powodować trudności związanych z wdrażaniem. </w:t>
      </w:r>
    </w:p>
    <w:p w:rsidR="00424449" w:rsidRPr="00092521" w:rsidRDefault="00424449" w:rsidP="00424449">
      <w:pPr>
        <w:spacing w:after="120"/>
        <w:rPr>
          <w:rFonts w:eastAsia="Calibri"/>
        </w:rPr>
      </w:pPr>
      <w:r w:rsidRPr="00092521">
        <w:rPr>
          <w:rFonts w:eastAsia="SimSun"/>
          <w:lang w:eastAsia="pl-PL"/>
        </w:rPr>
        <w:t xml:space="preserve">Cele szczegółowe wyznaczone w priorytetach inwestycyjnych 8.5, 8.7, 8.8, 8.9, 8.10 </w:t>
      </w:r>
      <w:r w:rsidRPr="00092521">
        <w:rPr>
          <w:rFonts w:eastAsia="SimSun"/>
          <w:bCs/>
          <w:lang w:eastAsia="pl-PL"/>
        </w:rPr>
        <w:t>są merytorycznie uzasadnione</w:t>
      </w:r>
      <w:r w:rsidRPr="00092521">
        <w:rPr>
          <w:rFonts w:eastAsia="SimSun"/>
          <w:lang w:eastAsia="pl-PL"/>
        </w:rPr>
        <w:t xml:space="preserve"> - w tym sensie </w:t>
      </w:r>
      <w:r w:rsidRPr="00092521">
        <w:rPr>
          <w:rFonts w:eastAsia="SimSun"/>
          <w:bCs/>
          <w:lang w:eastAsia="pl-PL"/>
        </w:rPr>
        <w:t xml:space="preserve">projekt RPO WP 2014-2020 w dużym stopniu odpowiada na wyzwania stojące przed regionalnym rynkiem pracy. </w:t>
      </w:r>
      <w:r w:rsidRPr="00092521">
        <w:t xml:space="preserve">Wobec stosunkowo trudnej sytuacji na podkarpackim rynku pracy proponowane działania są uzasadnione. </w:t>
      </w:r>
    </w:p>
    <w:p w:rsidR="00424449" w:rsidRDefault="00424449">
      <w:pPr>
        <w:jc w:val="left"/>
        <w:rPr>
          <w:b/>
          <w:bCs/>
          <w:color w:val="366092" w:themeColor="accent1"/>
          <w:sz w:val="18"/>
          <w:szCs w:val="18"/>
        </w:rPr>
      </w:pPr>
    </w:p>
    <w:p w:rsidR="00424449" w:rsidRDefault="00424449" w:rsidP="00424449">
      <w:pPr>
        <w:pStyle w:val="NormalnyWeb"/>
        <w:keepNext/>
        <w:rPr>
          <w:rFonts w:asciiTheme="minorHAnsi" w:eastAsiaTheme="minorHAnsi" w:hAnsiTheme="minorHAnsi" w:cstheme="minorBidi"/>
          <w:b/>
          <w:bCs/>
          <w:color w:val="366092" w:themeColor="accent1"/>
          <w:sz w:val="18"/>
          <w:szCs w:val="18"/>
        </w:rPr>
        <w:sectPr w:rsidR="00424449" w:rsidSect="00607AE2">
          <w:footerReference w:type="first" r:id="rId68"/>
          <w:pgSz w:w="11906" w:h="16838"/>
          <w:pgMar w:top="1985" w:right="1418" w:bottom="1418" w:left="1418" w:header="708" w:footer="708" w:gutter="0"/>
          <w:cols w:space="708"/>
          <w:docGrid w:linePitch="360"/>
        </w:sectPr>
      </w:pPr>
    </w:p>
    <w:p w:rsidR="00092521" w:rsidRPr="00424449" w:rsidRDefault="00092521" w:rsidP="00092521">
      <w:pPr>
        <w:pStyle w:val="Legenda"/>
        <w:keepNext/>
      </w:pPr>
      <w:r w:rsidRPr="00424449">
        <w:lastRenderedPageBreak/>
        <w:t xml:space="preserve">Schemat </w:t>
      </w:r>
      <w:r w:rsidR="001B04AC">
        <w:fldChar w:fldCharType="begin"/>
      </w:r>
      <w:r w:rsidR="008E1D74">
        <w:instrText xml:space="preserve"> SEQ Schemat \* ARABIC </w:instrText>
      </w:r>
      <w:r w:rsidR="001B04AC">
        <w:fldChar w:fldCharType="separate"/>
      </w:r>
      <w:r w:rsidR="00832320">
        <w:rPr>
          <w:noProof/>
        </w:rPr>
        <w:t>9</w:t>
      </w:r>
      <w:r w:rsidR="001B04AC">
        <w:rPr>
          <w:noProof/>
        </w:rPr>
        <w:fldChar w:fldCharType="end"/>
      </w:r>
      <w:r w:rsidRPr="00424449">
        <w:t xml:space="preserve">. Model logiczny osi priorytetowej </w:t>
      </w:r>
      <w:r>
        <w:t>VII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640"/>
      </w:tblGrid>
      <w:tr w:rsidR="00092521" w:rsidRPr="00424449" w:rsidTr="002B502A">
        <w:trPr>
          <w:jc w:val="center"/>
        </w:trPr>
        <w:tc>
          <w:tcPr>
            <w:tcW w:w="9286" w:type="dxa"/>
            <w:shd w:val="clear" w:color="auto" w:fill="A4BEDD" w:themeFill="accent1" w:themeFillTint="66"/>
          </w:tcPr>
          <w:p w:rsidR="00092521" w:rsidRPr="00424449" w:rsidRDefault="00092521" w:rsidP="002B679A">
            <w:pPr>
              <w:spacing w:before="120"/>
              <w:jc w:val="center"/>
              <w:rPr>
                <w:i/>
                <w:noProof/>
                <w:lang w:eastAsia="pl-PL"/>
              </w:rPr>
            </w:pPr>
            <w:r w:rsidRPr="00424449">
              <w:rPr>
                <w:b/>
                <w:i/>
                <w:noProof/>
                <w:sz w:val="20"/>
                <w:lang w:eastAsia="pl-PL"/>
              </w:rPr>
              <w:t xml:space="preserve">oś priorytetowa </w:t>
            </w:r>
            <w:r>
              <w:rPr>
                <w:b/>
                <w:i/>
                <w:noProof/>
                <w:sz w:val="20"/>
                <w:lang w:eastAsia="pl-PL"/>
              </w:rPr>
              <w:t>VII</w:t>
            </w:r>
            <w:r w:rsidRPr="00424449">
              <w:rPr>
                <w:b/>
                <w:i/>
                <w:noProof/>
                <w:sz w:val="20"/>
                <w:lang w:eastAsia="pl-PL"/>
              </w:rPr>
              <w:t xml:space="preserve">. </w:t>
            </w:r>
            <w:r w:rsidRPr="00092521">
              <w:rPr>
                <w:b/>
                <w:i/>
                <w:noProof/>
                <w:sz w:val="20"/>
                <w:lang w:eastAsia="pl-PL"/>
              </w:rPr>
              <w:t>Regionalny rynek pracy</w:t>
            </w:r>
          </w:p>
        </w:tc>
      </w:tr>
      <w:tr w:rsidR="00092521" w:rsidRPr="00424449" w:rsidTr="002B679A">
        <w:trPr>
          <w:trHeight w:val="7023"/>
          <w:jc w:val="center"/>
        </w:trPr>
        <w:tc>
          <w:tcPr>
            <w:tcW w:w="9286" w:type="dxa"/>
          </w:tcPr>
          <w:p w:rsidR="00092521" w:rsidRPr="00424449" w:rsidRDefault="001B04AC" w:rsidP="002B502A">
            <w:pPr>
              <w:spacing w:before="240" w:after="240"/>
              <w:rPr>
                <w:i/>
              </w:rPr>
            </w:pPr>
            <w:r>
              <w:rPr>
                <w:i/>
                <w:noProof/>
                <w:lang w:eastAsia="pl-PL"/>
              </w:rPr>
            </w:r>
            <w:r>
              <w:rPr>
                <w:i/>
                <w:noProof/>
                <w:lang w:eastAsia="pl-PL"/>
              </w:rPr>
              <w:pict>
                <v:group id="Kanwa 647" o:spid="_x0000_s1168" editas="canvas" style="width:736.85pt;height:358.6pt;mso-position-horizontal-relative:char;mso-position-vertical-relative:line" coordsize="93579,455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">
                  <v:shape id="_x0000_s1169" type="#_x0000_t75" style="position:absolute;width:93579;height:45542;visibility:visible">
                    <v:fill o:detectmouseclick="t"/>
                    <v:path o:connecttype="none"/>
                  </v:shape>
                  <v:rect id="Rectangle 301" o:spid="_x0000_s1170" style="position:absolute;left:212;top:401;width:8048;height:143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BsI74A&#10;AADcAAAADwAAAGRycy9kb3ducmV2LnhtbERPzYrCMBC+C75DGGFvNlVQtBpFC8rqzeoDDM3YVptJ&#10;baJ2335zEDx+fP/LdWdq8aLWVZYVjKIYBHFudcWFgst5N5yBcB5ZY22ZFPyRg/Wq31tiou2bT/TK&#10;fCFCCLsEFZTeN4mULi/JoItsQxy4q20N+gDbQuoW3yHc1HIcx1NpsOLQUGJDaUn5PXsaBbzXB75l&#10;N8T76ZiNtuO0ejxSpX4G3WYBwlPnv+KP+1crmE/C2nAmHAG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eAbCO+AAAA3AAAAA8AAAAAAAAAAAAAAAAAmAIAAGRycy9kb3ducmV2&#10;LnhtbFBLBQYAAAAABAAEAPUAAACDAwAAAAA=&#10;" fillcolor="#76923c" stroked="f">
                    <v:textbox>
                      <w:txbxContent>
                        <w:p w:rsidR="00832320" w:rsidRDefault="00832320" w:rsidP="00092521">
                          <w:pPr>
                            <w:pStyle w:val="NormalnyWeb"/>
                            <w:spacing w:before="0" w:beforeAutospacing="0" w:after="200" w:afterAutospacing="0" w:line="276" w:lineRule="auto"/>
                            <w:jc w:val="center"/>
                          </w:pPr>
                          <w:r>
                            <w:rPr>
                              <w:rFonts w:ascii="Calibri" w:eastAsia="SimSun" w:hAnsi="Calibri"/>
                              <w:b/>
                              <w:bCs/>
                              <w:color w:val="FFFFFF"/>
                              <w:sz w:val="16"/>
                              <w:szCs w:val="16"/>
                            </w:rPr>
                            <w:t>cele szczegółowe PI</w:t>
                          </w:r>
                        </w:p>
                      </w:txbxContent>
                    </v:textbox>
                  </v:rect>
                  <v:rect id="Rectangle 302" o:spid="_x0000_s1171" style="position:absolute;left:212;top:19267;width:8048;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GLsMA&#10;AADcAAAADwAAAGRycy9kb3ducmV2LnhtbESPzYrCMBSF9wO+Q7iCuzFVqDNWo4giunGh48bdtbk2&#10;xeamNNHWtzcDA7M8nJ+PM192thJPanzpWMFomIAgzp0uuVBw/tl+foPwAVlj5ZgUvMjDctH7mGOm&#10;XctHep5CIeII+wwVmBDqTEqfG7Loh64mjt7NNRZDlE0hdYNtHLeVHCfJRFosORIM1rQ2lN9PDxu5&#10;xeh62H35g20n+SWkZHbp5qjUoN+tZiACdeE//NfeawXTdAq/Z+IRkI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AGLsMAAADcAAAADwAAAAAAAAAAAAAAAACYAgAAZHJzL2Rv&#10;d25yZXYueG1sUEsFBgAAAAAEAAQA9QAAAIgDAAAAAA==&#10;" fillcolor="#366092" stroked="f">
                    <v:textbox>
                      <w:txbxContent>
                        <w:p w:rsidR="00832320" w:rsidRDefault="00832320" w:rsidP="00092521">
                          <w:pPr>
                            <w:pStyle w:val="NormalnyWeb"/>
                            <w:spacing w:before="0" w:beforeAutospacing="0" w:after="200" w:afterAutospacing="0" w:line="276" w:lineRule="auto"/>
                            <w:jc w:val="center"/>
                          </w:pPr>
                          <w:r>
                            <w:rPr>
                              <w:rFonts w:ascii="Calibri" w:eastAsia="SimSun" w:hAnsi="Calibri"/>
                              <w:b/>
                              <w:bCs/>
                              <w:color w:val="FCFCFC"/>
                              <w:sz w:val="16"/>
                              <w:szCs w:val="16"/>
                            </w:rPr>
                            <w:t>typy projektów</w:t>
                          </w:r>
                        </w:p>
                      </w:txbxContent>
                    </v:textbox>
                  </v:rect>
                  <v:rect id="Prostokąt 394" o:spid="_x0000_s1172" style="position:absolute;left:66578;top:473;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j1sQA&#10;AADbAAAADwAAAGRycy9kb3ducmV2LnhtbESPQYvCMBSE74L/ITxhbzZdBZGuUWRR0D3Iqovg7dE8&#10;22LzUprYVn/9RhA8DjPzDTNbdKYUDdWusKzgM4pBEKdWF5wp+Duuh1MQziNrLC2Tgjs5WMz7vRkm&#10;2ra8p+bgMxEg7BJUkHtfJVK6NCeDLrIVcfAutjbog6wzqWtsA9yUchTHE2mw4LCQY0XfOaXXw80o&#10;+G3Xo82peZx2xePys1qSPbdbq9THoFt+gfDU+Xf41d5oBeMJPL+EH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C49bEAAAA2wAAAA8AAAAAAAAAAAAAAAAAmAIAAGRycy9k&#10;b3ducmV2LnhtbFBLBQYAAAAABAAEAPUAAACJAwAAAAA=&#10;" fillcolor="#c2d69b" stroked="f">
                    <v:textbox>
                      <w:txbxContent>
                        <w:p w:rsidR="00832320" w:rsidRDefault="00832320" w:rsidP="00092521">
                          <w:pPr>
                            <w:pStyle w:val="NormalnyWeb"/>
                            <w:spacing w:before="0" w:beforeAutospacing="0" w:after="200" w:afterAutospacing="0"/>
                            <w:jc w:val="center"/>
                          </w:pPr>
                          <w:r>
                            <w:rPr>
                              <w:rFonts w:ascii="Calibri" w:eastAsia="Calibri" w:hAnsi="Calibri"/>
                              <w:sz w:val="16"/>
                              <w:szCs w:val="16"/>
                            </w:rPr>
                            <w:t>Zwiększenie adaptacyjności przedsiębiorstw i pracowników, dotkniętych procesami zmiany gospodarczej (8.9)</w:t>
                          </w:r>
                        </w:p>
                      </w:txbxContent>
                    </v:textbox>
                  </v:rect>
                  <v:rect id="Prostokąt 395" o:spid="_x0000_s1173" style="position:absolute;left:11334;top:399;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5GTcQA&#10;AADbAAAADwAAAGRycy9kb3ducmV2LnhtbESPT4vCMBTE74LfITzBm6a6sEo1ioiC7mHxH4K3R/Ns&#10;i81LabJt10+/WRA8DjPzG2a+bE0haqpcblnBaBiBIE6szjlVcDlvB1MQziNrLCyTgl9ysFx0O3OM&#10;tW34SPXJpyJA2MWoIPO+jKV0SUYG3dCWxMG728qgD7JKpa6wCXBTyHEUfUqDOYeFDEtaZ5Q8Tj9G&#10;waHZjnfX+nn9zp/3r82K7K3ZW6X6vXY1A+Gp9e/wq73TCj4m8P8l/A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ORk3EAAAA2wAAAA8AAAAAAAAAAAAAAAAAmAIAAGRycy9k&#10;b3ducmV2LnhtbFBLBQYAAAAABAAEAPUAAACJAwAAAAA=&#10;" fillcolor="#c2d69b" stroked="f">
                    <v:textbox>
                      <w:txbxContent>
                        <w:p w:rsidR="00832320" w:rsidRDefault="00832320" w:rsidP="00092521">
                          <w:pPr>
                            <w:pStyle w:val="NormalnyWeb"/>
                            <w:spacing w:before="0" w:beforeAutospacing="0" w:after="200" w:afterAutospacing="0"/>
                            <w:jc w:val="center"/>
                          </w:pPr>
                          <w:r>
                            <w:rPr>
                              <w:rFonts w:ascii="Calibri" w:eastAsia="Times New Roman" w:hAnsi="Calibri"/>
                              <w:sz w:val="16"/>
                              <w:szCs w:val="16"/>
                            </w:rPr>
                            <w:t>Wzrost liczby osób lepiej przygotowanych do wejścia i utrzymania się na rynku pracy. (8.5)</w:t>
                          </w:r>
                        </w:p>
                      </w:txbxContent>
                    </v:textbox>
                  </v:rect>
                  <v:rect id="Prostokąt 396" o:spid="_x0000_s1174" style="position:absolute;left:24804;top:360;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GtRMAA&#10;AADbAAAADwAAAGRycy9kb3ducmV2LnhtbERPTYvCMBC9C/6HMII3TRVZlmoUEQX1sLgqgrehGdti&#10;MylNbKu/3hwEj4/3PVu0phA1VS63rGA0jEAQJ1bnnCo4nzaDXxDOI2ssLJOCJzlYzLudGcbaNvxP&#10;9dGnIoSwi1FB5n0ZS+mSjAy6oS2JA3ezlUEfYJVKXWETwk0hx1H0Iw3mHBoyLGmVUXI/PoyCQ7MZ&#10;by/16/KXv2779ZLstdlZpfq9djkF4an1X/HHvdUKJmF9+BJ+gJ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mGtRMAAAADbAAAADwAAAAAAAAAAAAAAAACYAgAAZHJzL2Rvd25y&#10;ZXYueG1sUEsFBgAAAAAEAAQA9QAAAIUDAAAAAA==&#10;" fillcolor="#c2d69b" stroked="f">
                    <v:textbox>
                      <w:txbxContent>
                        <w:p w:rsidR="00832320" w:rsidRDefault="00832320" w:rsidP="00092521">
                          <w:pPr>
                            <w:pStyle w:val="NormalnyWeb"/>
                            <w:spacing w:before="0" w:beforeAutospacing="0" w:after="200" w:afterAutospacing="0"/>
                            <w:jc w:val="center"/>
                          </w:pPr>
                          <w:r>
                            <w:rPr>
                              <w:rFonts w:ascii="Calibri" w:eastAsia="Calibri" w:hAnsi="Calibri"/>
                              <w:sz w:val="16"/>
                              <w:szCs w:val="16"/>
                            </w:rPr>
                            <w:t>Wzrost przedsiębiorczości i samozatrudnienia w regionie (8.7)</w:t>
                          </w:r>
                        </w:p>
                      </w:txbxContent>
                    </v:textbox>
                  </v:rect>
                  <v:rect id="Prostokąt 397" o:spid="_x0000_s1175" style="position:absolute;left:38823;top:360;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0I38QA&#10;AADbAAAADwAAAGRycy9kb3ducmV2LnhtbESPT4vCMBTE78J+h/AWvNlUEZGuUWRZQT2IfxZhb4/m&#10;2ZZtXkoT2+qnN4LgcZiZ3zCzRWdK0VDtCssKhlEMgji1uuBMwe9pNZiCcB5ZY2mZFNzIwWL+0Zth&#10;om3LB2qOPhMBwi5BBbn3VSKlS3My6CJbEQfvYmuDPsg6k7rGNsBNKUdxPJEGCw4LOVb0nVP6f7wa&#10;Bft2NVqfm/t5V9wv258l2b92Y5Xqf3bLLxCeOv8Ov9prrWA8hOeX8A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tCN/EAAAA2wAAAA8AAAAAAAAAAAAAAAAAmAIAAGRycy9k&#10;b3ducmV2LnhtbFBLBQYAAAAABAAEAPUAAACJAwAAAAA=&#10;" fillcolor="#c2d69b" stroked="f">
                    <v:textbox>
                      <w:txbxContent>
                        <w:p w:rsidR="00832320" w:rsidRDefault="00832320" w:rsidP="00092521">
                          <w:pPr>
                            <w:pStyle w:val="NormalnyWeb"/>
                            <w:spacing w:before="0" w:beforeAutospacing="0" w:after="0" w:afterAutospacing="0"/>
                            <w:jc w:val="center"/>
                          </w:pPr>
                          <w:r>
                            <w:rPr>
                              <w:rFonts w:ascii="Calibri" w:eastAsia="Calibri" w:hAnsi="Calibri"/>
                              <w:sz w:val="16"/>
                              <w:szCs w:val="16"/>
                            </w:rPr>
                            <w:t>Zwiększenie poziomu zatrudnienia wśród osób mających utrudniony</w:t>
                          </w:r>
                          <w:r>
                            <w:rPr>
                              <w:rFonts w:ascii="Arial" w:eastAsia="Calibri" w:hAnsi="Arial" w:cs="Arial"/>
                              <w:b/>
                              <w:bCs/>
                              <w:sz w:val="22"/>
                              <w:szCs w:val="22"/>
                            </w:rPr>
                            <w:t xml:space="preserve"> </w:t>
                          </w:r>
                          <w:r>
                            <w:rPr>
                              <w:rFonts w:ascii="Calibri" w:eastAsia="Calibri" w:hAnsi="Calibri"/>
                              <w:sz w:val="16"/>
                              <w:szCs w:val="16"/>
                            </w:rPr>
                            <w:t>dostęp do rynku pracy z powodu sprawowania</w:t>
                          </w:r>
                          <w:r>
                            <w:rPr>
                              <w:rFonts w:ascii="Arial" w:eastAsia="Calibri" w:hAnsi="Arial" w:cs="Arial"/>
                              <w:b/>
                              <w:bCs/>
                              <w:sz w:val="22"/>
                              <w:szCs w:val="22"/>
                            </w:rPr>
                            <w:t xml:space="preserve"> </w:t>
                          </w:r>
                          <w:r>
                            <w:rPr>
                              <w:rFonts w:ascii="Calibri" w:eastAsia="Calibri" w:hAnsi="Calibri"/>
                              <w:sz w:val="16"/>
                              <w:szCs w:val="16"/>
                            </w:rPr>
                            <w:t>opieki nad dziećmi do lat 3 (8.8)</w:t>
                          </w:r>
                        </w:p>
                        <w:p w:rsidR="00832320" w:rsidRDefault="00832320" w:rsidP="00092521">
                          <w:pPr>
                            <w:pStyle w:val="NormalnyWeb"/>
                            <w:spacing w:before="0" w:beforeAutospacing="0" w:after="0" w:afterAutospacing="0"/>
                            <w:jc w:val="center"/>
                          </w:pPr>
                          <w:r>
                            <w:rPr>
                              <w:rFonts w:eastAsia="Times New Roman"/>
                            </w:rPr>
                            <w:t> </w:t>
                          </w:r>
                        </w:p>
                      </w:txbxContent>
                    </v:textbox>
                  </v:rect>
                  <v:rect id="Prostokąt 398" o:spid="_x0000_s1176" style="position:absolute;left:52636;top:473;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qMQA&#10;AADbAAAADwAAAGRycy9kb3ducmV2LnhtbESPQYvCMBSE7wv+h/AEb2tqkWWpRhFRcD0srorg7dE8&#10;22LzUppsW/31RhA8DjPzDTOdd6YUDdWusKxgNIxAEKdWF5wpOB7Wn98gnEfWWFomBTdyMJ/1PqaY&#10;aNvyHzV7n4kAYZeggtz7KpHSpTkZdENbEQfvYmuDPsg6k7rGNsBNKeMo+pIGCw4LOVa0zCm97v+N&#10;gl27jjen5n76Le6X7WpB9tz+WKUG/W4xAeGp8+/wq73RCsYxPL+EH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lqjEAAAA2wAAAA8AAAAAAAAAAAAAAAAAmAIAAGRycy9k&#10;b3ducmV2LnhtbFBLBQYAAAAABAAEAPUAAACJAwAAAAA=&#10;" fillcolor="#c2d69b" stroked="f">
                    <v:textbox>
                      <w:txbxContent>
                        <w:p w:rsidR="00832320" w:rsidRDefault="00832320" w:rsidP="00092521">
                          <w:pPr>
                            <w:pStyle w:val="NormalnyWeb"/>
                            <w:spacing w:before="0" w:beforeAutospacing="0" w:after="0" w:afterAutospacing="0"/>
                            <w:jc w:val="center"/>
                          </w:pPr>
                          <w:r>
                            <w:rPr>
                              <w:rFonts w:ascii="Calibri" w:eastAsia="Calibri" w:hAnsi="Calibri"/>
                              <w:sz w:val="16"/>
                              <w:szCs w:val="16"/>
                            </w:rPr>
                            <w:t>Poprawa kwalifikacji pracowników przedsiębiorstw zgodnie ze</w:t>
                          </w:r>
                          <w:r>
                            <w:rPr>
                              <w:rFonts w:eastAsia="Times New Roman"/>
                            </w:rPr>
                            <w:t xml:space="preserve"> </w:t>
                          </w:r>
                          <w:r>
                            <w:rPr>
                              <w:rFonts w:ascii="Calibri" w:eastAsia="Calibri" w:hAnsi="Calibri"/>
                              <w:sz w:val="16"/>
                              <w:szCs w:val="16"/>
                            </w:rPr>
                            <w:t>zdiagnozowanymi potrzebami rozwojowymi (8.9)</w:t>
                          </w:r>
                        </w:p>
                      </w:txbxContent>
                    </v:textbox>
                  </v:rect>
                  <v:rect id="Prostokąt 399" o:spid="_x0000_s1177" style="position:absolute;left:80539;top:399;width:12601;height:144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MzM8QA&#10;AADbAAAADwAAAGRycy9kb3ducmV2LnhtbESPT4vCMBTE74LfITzBm6a6i0g1ioiC7mHxH4K3R/Ns&#10;i81LabJt10+/WRA8DjPzG2a+bE0haqpcblnBaBiBIE6szjlVcDlvB1MQziNrLCyTgl9ysFx0O3OM&#10;tW34SPXJpyJA2MWoIPO+jKV0SUYG3dCWxMG728qgD7JKpa6wCXBTyHEUTaTBnMNChiWtM0oepx+j&#10;4NBsx7tr/bx+58/712ZF9tbsrVL9XruagfDU+nf41d5pBZ8f8P8l/A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zMzPEAAAA2wAAAA8AAAAAAAAAAAAAAAAAmAIAAGRycy9k&#10;b3ducmV2LnhtbFBLBQYAAAAABAAEAPUAAACJAwAAAAA=&#10;" fillcolor="#c2d69b" stroked="f">
                    <v:textbox>
                      <w:txbxContent>
                        <w:p w:rsidR="00832320" w:rsidRDefault="00832320" w:rsidP="00092521">
                          <w:pPr>
                            <w:pStyle w:val="NormalnyWeb"/>
                            <w:spacing w:before="0" w:beforeAutospacing="0" w:after="0" w:afterAutospacing="0"/>
                            <w:jc w:val="center"/>
                          </w:pPr>
                          <w:r>
                            <w:rPr>
                              <w:rFonts w:ascii="Calibri" w:eastAsia="Calibri" w:hAnsi="Calibri"/>
                              <w:sz w:val="16"/>
                              <w:szCs w:val="16"/>
                            </w:rPr>
                            <w:t>Utrzymanie aktywności zawodowej i dobrego stanu zdrowia mieszkańców</w:t>
                          </w:r>
                          <w:r>
                            <w:rPr>
                              <w:rFonts w:eastAsia="Times New Roman"/>
                            </w:rPr>
                            <w:t xml:space="preserve"> </w:t>
                          </w:r>
                          <w:r>
                            <w:rPr>
                              <w:rFonts w:ascii="Calibri" w:eastAsia="Calibri" w:hAnsi="Calibri"/>
                              <w:sz w:val="16"/>
                              <w:szCs w:val="16"/>
                            </w:rPr>
                            <w:t>województwa (8.10)</w:t>
                          </w:r>
                        </w:p>
                      </w:txbxContent>
                    </v:textbox>
                  </v:rect>
                  <v:rect id="Prostokąt 400" o:spid="_x0000_s1178" style="position:absolute;left:66578;top:19263;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xSsMQA&#10;AADbAAAADwAAAGRycy9kb3ducmV2LnhtbESP0WrCQBRE3wv9h+UWfKsbY6iSuooUAmKhYPQDrtnb&#10;JJi9G3e3Sfr33UKhj8PMnGE2u8l0YiDnW8sKFvMEBHFldcu1gsu5eF6D8AFZY2eZFHyTh9328WGD&#10;ubYjn2goQy0ihH2OCpoQ+lxKXzVk0M9tTxy9T+sMhihdLbXDMcJNJ9MkeZEGW44LDfb01lB1K7+M&#10;gmK4r07XxXr5kb6HW7UqPbmjV2r2NO1fQQSawn/4r33QCrIMfr/EH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sUrDEAAAA2wAAAA8AAAAAAAAAAAAAAAAAmAIAAGRycy9k&#10;b3ducmV2LnhtbFBLBQYAAAAABAAEAPUAAACJAw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wsparcie procesów adaptacyjnych i modernizacyjnych przedsiębiorstw,</w:t>
                          </w:r>
                        </w:p>
                        <w:p w:rsidR="00832320" w:rsidRDefault="00832320" w:rsidP="00092521">
                          <w:pPr>
                            <w:pStyle w:val="NormalnyWeb"/>
                            <w:spacing w:before="0" w:beforeAutospacing="0" w:after="0" w:afterAutospacing="0"/>
                          </w:pPr>
                          <w:r>
                            <w:rPr>
                              <w:rFonts w:ascii="Calibri" w:eastAsia="Times New Roman" w:hAnsi="Calibri"/>
                              <w:sz w:val="14"/>
                              <w:szCs w:val="14"/>
                            </w:rPr>
                            <w:t>- wsparcie osób, które utraciły pracę z przyczyn zakładu pracy ukierunkowane na ich szybkie przywrócenie do zatrudnienia</w:t>
                          </w:r>
                        </w:p>
                        <w:p w:rsidR="00832320" w:rsidRDefault="00832320" w:rsidP="00092521">
                          <w:pPr>
                            <w:pStyle w:val="NormalnyWeb"/>
                            <w:spacing w:before="0" w:beforeAutospacing="0" w:after="0" w:afterAutospacing="0"/>
                          </w:pPr>
                          <w:r>
                            <w:rPr>
                              <w:rFonts w:ascii="Calibri" w:eastAsia="Times New Roman" w:hAnsi="Calibri"/>
                              <w:sz w:val="14"/>
                              <w:szCs w:val="14"/>
                            </w:rPr>
                            <w:t> </w:t>
                          </w:r>
                        </w:p>
                      </w:txbxContent>
                    </v:textbox>
                  </v:rect>
                  <v:rect id="Prostokąt 401" o:spid="_x0000_s1179" style="position:absolute;left:11334;top:19263;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3K8QA&#10;AADbAAAADwAAAGRycy9kb3ducmV2LnhtbESP0WrCQBRE3wv+w3IF3+rG2KqkrkEEQVooGPsBt9nb&#10;JJi9G3fXGP++Wyj4OMzMGWadD6YVPTnfWFYwmyYgiEurG64UfJ32zysQPiBrbC2Tgjt5yDejpzVm&#10;2t74SH0RKhEh7DNUUIfQZVL6siaDfmo74uj9WGcwROkqqR3eIty0Mk2ShTTYcFyosaNdTeW5uBoF&#10;+/6yPH7PVvPP9COcy2Xhyb17pSbjYfsGItAQHuH/9kEreHmFvy/xB8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g9yvEAAAA2wAAAA8AAAAAAAAAAAAAAAAAmAIAAGRycy9k&#10;b3ducmV2LnhtbFBLBQYAAAAABAAEAPUAAACJAw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przygotowanie osób bezrobotnych do podjęcia i utrzymania zatrudnienia</w:t>
                          </w:r>
                        </w:p>
                        <w:p w:rsidR="00832320" w:rsidRDefault="00832320" w:rsidP="00092521">
                          <w:pPr>
                            <w:pStyle w:val="NormalnyWeb"/>
                            <w:spacing w:before="0" w:beforeAutospacing="0" w:after="0" w:afterAutospacing="0"/>
                          </w:pPr>
                          <w:r>
                            <w:rPr>
                              <w:rFonts w:ascii="Calibri" w:eastAsia="Times New Roman" w:hAnsi="Calibri"/>
                              <w:sz w:val="14"/>
                              <w:szCs w:val="14"/>
                            </w:rPr>
                            <w:t>- wsparcie adaptacyjne pracownika, który uzyskał zatrudnienie w ramach projektu,</w:t>
                          </w:r>
                        </w:p>
                        <w:p w:rsidR="00832320" w:rsidRDefault="00832320" w:rsidP="00092521">
                          <w:pPr>
                            <w:pStyle w:val="NormalnyWeb"/>
                            <w:spacing w:before="0" w:beforeAutospacing="0" w:after="0" w:afterAutospacing="0"/>
                          </w:pPr>
                          <w:r>
                            <w:rPr>
                              <w:rFonts w:ascii="Calibri" w:eastAsia="Times New Roman" w:hAnsi="Calibri"/>
                              <w:sz w:val="14"/>
                              <w:szCs w:val="14"/>
                            </w:rPr>
                            <w:t>- wsparcie zawodowej i terytorialnej mobilności osób pozostających bez zatrudnienia</w:t>
                          </w:r>
                        </w:p>
                        <w:p w:rsidR="00832320" w:rsidRDefault="00832320" w:rsidP="00092521">
                          <w:pPr>
                            <w:pStyle w:val="NormalnyWeb"/>
                            <w:spacing w:before="0" w:beforeAutospacing="0" w:after="0" w:afterAutospacing="0"/>
                          </w:pPr>
                          <w:r>
                            <w:rPr>
                              <w:rFonts w:ascii="Calibri" w:eastAsia="Times New Roman" w:hAnsi="Calibri"/>
                              <w:sz w:val="14"/>
                              <w:szCs w:val="14"/>
                            </w:rPr>
                            <w:t xml:space="preserve">- instrumenty i usługi zgodne z ustawodawstwem krajowym realizowane przez PUP. </w:t>
                          </w:r>
                        </w:p>
                        <w:p w:rsidR="00832320" w:rsidRDefault="00832320" w:rsidP="00092521">
                          <w:pPr>
                            <w:pStyle w:val="NormalnyWeb"/>
                            <w:spacing w:before="0" w:beforeAutospacing="0" w:after="0" w:afterAutospacing="0"/>
                          </w:pPr>
                          <w:r>
                            <w:rPr>
                              <w:rFonts w:ascii="Calibri" w:eastAsia="Times New Roman" w:hAnsi="Calibri"/>
                              <w:sz w:val="14"/>
                              <w:szCs w:val="14"/>
                            </w:rPr>
                            <w:t> </w:t>
                          </w:r>
                        </w:p>
                        <w:p w:rsidR="00832320" w:rsidRDefault="00832320" w:rsidP="00092521">
                          <w:pPr>
                            <w:pStyle w:val="NormalnyWeb"/>
                            <w:spacing w:before="0" w:beforeAutospacing="0" w:after="0" w:afterAutospacing="0"/>
                          </w:pPr>
                          <w:r>
                            <w:rPr>
                              <w:rFonts w:ascii="Calibri" w:eastAsia="Times New Roman" w:hAnsi="Calibri"/>
                              <w:sz w:val="14"/>
                              <w:szCs w:val="14"/>
                            </w:rPr>
                            <w:t> </w:t>
                          </w:r>
                        </w:p>
                      </w:txbxContent>
                    </v:textbox>
                  </v:rect>
                  <v:rect id="Prostokąt 402" o:spid="_x0000_s1180" style="position:absolute;left:24804;top:19263;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JpXMIA&#10;AADbAAAADwAAAGRycy9kb3ducmV2LnhtbESP0YrCMBRE3wX/IVxh3zTVFZVqlEUQlhUE637A3eba&#10;FpubbhJr/XsjCD4OM3OGWW06U4uWnK8sKxiPEhDEudUVFwp+T7vhAoQPyBpry6TgTh42635vham2&#10;Nz5Sm4VCRAj7FBWUITSplD4vyaAf2YY4emfrDIYoXSG1w1uEm1pOkmQmDVYcF0psaFtSfsmuRsGu&#10;/Z8f/8aLz8NkHy75PPPkfrxSH4PuawkiUBfe4Vf7WyuYzuD5Jf4A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MmlcwgAAANsAAAAPAAAAAAAAAAAAAAAAAJgCAABkcnMvZG93&#10;bnJldi54bWxQSwUGAAAAAAQABAD1AAAAhwM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bezzwrotne wsparcie w postaci dotacji dla osób zamierzających rozpocząć prowadzenie działalności gospodarczej, wraz ze wsparciem pomostowym</w:t>
                          </w:r>
                        </w:p>
                        <w:p w:rsidR="00832320" w:rsidRDefault="00832320" w:rsidP="00092521">
                          <w:pPr>
                            <w:pStyle w:val="NormalnyWeb"/>
                            <w:spacing w:before="0" w:beforeAutospacing="0" w:after="0" w:afterAutospacing="0"/>
                          </w:pPr>
                          <w:r>
                            <w:rPr>
                              <w:rFonts w:ascii="Calibri" w:eastAsia="Times New Roman" w:hAnsi="Calibri"/>
                              <w:sz w:val="14"/>
                              <w:szCs w:val="14"/>
                            </w:rPr>
                            <w:t>- wsparcie zwrotne przyznawane na warunkach preferencyjnych dla osób zamierzających rozpocząć prowadzenie działalności gospodarczej</w:t>
                          </w:r>
                        </w:p>
                        <w:p w:rsidR="00832320" w:rsidRDefault="00832320" w:rsidP="00092521">
                          <w:pPr>
                            <w:pStyle w:val="NormalnyWeb"/>
                            <w:spacing w:before="0" w:beforeAutospacing="0" w:after="0" w:afterAutospacing="0"/>
                          </w:pPr>
                          <w:r>
                            <w:rPr>
                              <w:rFonts w:ascii="Calibri" w:eastAsia="Times New Roman" w:hAnsi="Calibri"/>
                              <w:sz w:val="14"/>
                              <w:szCs w:val="14"/>
                            </w:rPr>
                            <w:t>- wsparcie doradczo – szkoleniowe dla osób zamierzających rozpocząć prowadzenie działalności gospodarczej oraz osób, które rozpoczęły działalność gospodarczą w ramach projektów realizowanych tym PI</w:t>
                          </w:r>
                          <w:r>
                            <w:rPr>
                              <w:rFonts w:ascii="Arial" w:eastAsia="Calibri" w:hAnsi="Arial"/>
                              <w:sz w:val="22"/>
                              <w:szCs w:val="22"/>
                            </w:rPr>
                            <w:t xml:space="preserve"> </w:t>
                          </w:r>
                        </w:p>
                        <w:p w:rsidR="00832320" w:rsidRDefault="00832320" w:rsidP="00092521">
                          <w:pPr>
                            <w:pStyle w:val="NormalnyWeb"/>
                            <w:spacing w:before="0" w:beforeAutospacing="0" w:after="0" w:afterAutospacing="0"/>
                          </w:pPr>
                          <w:r>
                            <w:rPr>
                              <w:rFonts w:ascii="Calibri" w:eastAsia="Calibri" w:hAnsi="Calibri"/>
                              <w:sz w:val="14"/>
                              <w:szCs w:val="14"/>
                            </w:rPr>
                            <w:t>- dotacje na spłatę do 20% wartości pożyczki</w:t>
                          </w:r>
                        </w:p>
                        <w:p w:rsidR="00832320" w:rsidRDefault="00832320" w:rsidP="00092521">
                          <w:pPr>
                            <w:pStyle w:val="NormalnyWeb"/>
                            <w:spacing w:before="0" w:beforeAutospacing="0" w:after="0" w:afterAutospacing="0"/>
                          </w:pPr>
                          <w:r>
                            <w:rPr>
                              <w:rFonts w:ascii="Calibri" w:eastAsia="Times New Roman" w:hAnsi="Calibri"/>
                              <w:sz w:val="14"/>
                              <w:szCs w:val="14"/>
                            </w:rPr>
                            <w:t> </w:t>
                          </w:r>
                        </w:p>
                      </w:txbxContent>
                    </v:textbox>
                  </v:rect>
                  <v:rect id="Prostokąt 403" o:spid="_x0000_s1181" style="position:absolute;left:38870;top:19267;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7Mx8MA&#10;AADbAAAADwAAAGRycy9kb3ducmV2LnhtbESP0WrCQBRE3wv9h+UKvtWNWkyIrlIKQlEoGP2Aa/aa&#10;BLN3091tjH/vFgo+DjNzhlltBtOKnpxvLCuYThIQxKXVDVcKTsftWwbCB2SNrWVScCcPm/Xrywpz&#10;bW98oL4IlYgQ9jkqqEPocil9WZNBP7EdcfQu1hkMUbpKaoe3CDetnCXJQhpsOC7U2NFnTeW1+DUK&#10;tv1PejhPs/n3bB+uZVp4cjuv1Hg0fCxBBBrCM/zf/tIK3lP4+xJ/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7Mx8MAAADbAAAADwAAAAAAAAAAAAAAAACYAgAAZHJzL2Rv&#10;d25yZXYueG1sUEsFBgAAAAAEAAQA9QAAAIgDA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wsparcie tworzenia i funkcjonowania instytucji opieki nad dziećmi do lat 3 (żłobki, kluby dziecięce) oraz innych form opieki nad dziećmi do lat 3 (dzienni opiekunowie)</w:t>
                          </w:r>
                        </w:p>
                        <w:p w:rsidR="00832320" w:rsidRDefault="00832320" w:rsidP="00092521">
                          <w:pPr>
                            <w:pStyle w:val="NormalnyWeb"/>
                            <w:spacing w:before="0" w:beforeAutospacing="0" w:after="0" w:afterAutospacing="0"/>
                          </w:pPr>
                          <w:r>
                            <w:rPr>
                              <w:rFonts w:ascii="Calibri" w:eastAsia="Times New Roman" w:hAnsi="Calibri"/>
                              <w:sz w:val="14"/>
                              <w:szCs w:val="14"/>
                            </w:rPr>
                            <w:t>- wsparcie tworzenia i funkcjonowania żłobków przyzakładowych</w:t>
                          </w:r>
                        </w:p>
                      </w:txbxContent>
                    </v:textbox>
                  </v:rect>
                  <v:rect id="Prostokąt 404" o:spid="_x0000_s1182" style="position:absolute;left:52636;top:19267;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FYtcEA&#10;AADbAAAADwAAAGRycy9kb3ducmV2LnhtbERP3WrCMBS+F/YO4Qy8s6lu2FJNyxgIw8HAugc4a45t&#10;sTnpkqx2b79cDLz8+P731WwGMZHzvWUF6yQFQdxY3XOr4PN8WOUgfEDWOFgmBb/koSofFnsstL3x&#10;iaY6tCKGsC9QQRfCWEjpm44M+sSOxJG7WGcwROhaqR3eYrgZ5CZNt9Jgz7Ghw5FeO2qu9Y9RcJi+&#10;s9PXOn/62LyHa5PVntzRK7V8nF92IALN4S7+d79pBc9xbPwSf4As/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3hWLXBAAAA2wAAAA8AAAAAAAAAAAAAAAAAmAIAAGRycy9kb3du&#10;cmV2LnhtbFBLBQYAAAAABAAEAPUAAACGAw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wsparcie w zakresie podnoszenia kwalifikacji pracowników firm w zakresie między innymi: diagnoza potrzeb rozwojowych dla firm, realizację określonych usług rozwojowych wynikających z indywidualnych potrzeb przedsiębiorcy,</w:t>
                          </w:r>
                        </w:p>
                        <w:p w:rsidR="00832320" w:rsidRDefault="00832320" w:rsidP="00092521">
                          <w:pPr>
                            <w:pStyle w:val="NormalnyWeb"/>
                            <w:spacing w:before="0" w:beforeAutospacing="0" w:after="0" w:afterAutospacing="0"/>
                          </w:pPr>
                          <w:r>
                            <w:rPr>
                              <w:rFonts w:ascii="Calibri" w:eastAsia="Times New Roman" w:hAnsi="Calibri"/>
                              <w:sz w:val="14"/>
                              <w:szCs w:val="14"/>
                            </w:rPr>
                            <w:t>- podnoszenie świadomości kadr zarządzających przedsiębiorstw w zakresie korzyści płynących z inwestycji w kapitał ludzki przedsiębiorstwa.</w:t>
                          </w:r>
                        </w:p>
                      </w:txbxContent>
                    </v:textbox>
                  </v:rect>
                  <v:rect id="Prostokąt 405" o:spid="_x0000_s1183" style="position:absolute;left:80539;top:19263;width:12601;height:2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39LsQA&#10;AADbAAAADwAAAGRycy9kb3ducmV2LnhtbESP0WrCQBRE3wv+w3IF3+pGLdWmWUUEQVooGP2A2+xt&#10;EpK9G3fXGP++Wyj4OMzMGSbbDKYVPTlfW1YwmyYgiAuray4VnE/75xUIH5A1tpZJwZ08bNajpwxT&#10;bW98pD4PpYgQ9ikqqELoUil9UZFBP7UdcfR+rDMYonSl1A5vEW5aOU+SV2mw5rhQYUe7ioomvxoF&#10;+/6yPH7PVouv+WdoimXuyX14pSbjYfsOItAQHuH/9kEreHmDvy/xB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t/S7EAAAA2wAAAA8AAAAAAAAAAAAAAAAAmAIAAGRycy9k&#10;b3ducmV2LnhtbFBLBQYAAAAABAAEAPUAAACJAwAAAAA=&#10;" fillcolor="#d1deee" stroked="f">
                    <v:textbox>
                      <w:txbxContent>
                        <w:p w:rsidR="00832320" w:rsidRDefault="00832320" w:rsidP="00092521">
                          <w:pPr>
                            <w:pStyle w:val="NormalnyWeb"/>
                            <w:spacing w:before="0" w:beforeAutospacing="0" w:after="0" w:afterAutospacing="0"/>
                          </w:pPr>
                          <w:r>
                            <w:rPr>
                              <w:rFonts w:ascii="Calibri" w:eastAsia="Times New Roman" w:hAnsi="Calibri"/>
                              <w:sz w:val="14"/>
                              <w:szCs w:val="14"/>
                            </w:rPr>
                            <w:t xml:space="preserve"> - przeciwdziałaniu negatywnym skutkom stresu zawodowego (wsparcie psychologiczne)</w:t>
                          </w:r>
                        </w:p>
                        <w:p w:rsidR="00832320" w:rsidRDefault="00832320" w:rsidP="00092521">
                          <w:pPr>
                            <w:pStyle w:val="NormalnyWeb"/>
                            <w:spacing w:before="0" w:beforeAutospacing="0" w:after="0" w:afterAutospacing="0"/>
                          </w:pPr>
                          <w:r>
                            <w:rPr>
                              <w:rFonts w:ascii="Calibri" w:eastAsia="Times New Roman" w:hAnsi="Calibri"/>
                              <w:sz w:val="14"/>
                              <w:szCs w:val="14"/>
                            </w:rPr>
                            <w:t>- szkolenia przekwalifikowujące pracowników długotrwale pracujących w warunkach szkodliwych,</w:t>
                          </w:r>
                        </w:p>
                        <w:p w:rsidR="00832320" w:rsidRDefault="00832320" w:rsidP="00092521">
                          <w:pPr>
                            <w:pStyle w:val="NormalnyWeb"/>
                            <w:spacing w:before="0" w:beforeAutospacing="0" w:after="0" w:afterAutospacing="0"/>
                          </w:pPr>
                          <w:r>
                            <w:rPr>
                              <w:rFonts w:ascii="Calibri" w:eastAsia="Times New Roman" w:hAnsi="Calibri"/>
                              <w:sz w:val="14"/>
                              <w:szCs w:val="14"/>
                            </w:rPr>
                            <w:t>- szkolenia i doradztwo w zakresie zarządzania wiekiem w przedsiębiorstwie</w:t>
                          </w:r>
                        </w:p>
                        <w:p w:rsidR="00832320" w:rsidRDefault="00832320" w:rsidP="00092521">
                          <w:pPr>
                            <w:pStyle w:val="NormalnyWeb"/>
                            <w:spacing w:before="0" w:beforeAutospacing="0" w:after="0" w:afterAutospacing="0"/>
                          </w:pPr>
                          <w:r>
                            <w:rPr>
                              <w:rFonts w:ascii="Calibri" w:eastAsia="Times New Roman" w:hAnsi="Calibri"/>
                              <w:sz w:val="14"/>
                              <w:szCs w:val="14"/>
                            </w:rPr>
                            <w:t>- programy profilaktyczne pozwalające na utrzymanie osób w wieku aktywności zawodowej w zdrowiu</w:t>
                          </w:r>
                        </w:p>
                        <w:p w:rsidR="00832320" w:rsidRDefault="00832320" w:rsidP="00092521">
                          <w:pPr>
                            <w:pStyle w:val="NormalnyWeb"/>
                            <w:spacing w:before="0" w:beforeAutospacing="0" w:after="0" w:afterAutospacing="0"/>
                          </w:pPr>
                          <w:r>
                            <w:rPr>
                              <w:rFonts w:ascii="Calibri" w:eastAsia="Times New Roman" w:hAnsi="Calibri"/>
                              <w:sz w:val="14"/>
                              <w:szCs w:val="14"/>
                            </w:rPr>
                            <w:t>- rehabilitacja leczniczej/medycznej ułatwiająca powrót do pracy lub utrzymanie aktywności zawodowej</w:t>
                          </w:r>
                        </w:p>
                        <w:p w:rsidR="00832320" w:rsidRDefault="00832320" w:rsidP="00092521">
                          <w:pPr>
                            <w:pStyle w:val="NormalnyWeb"/>
                            <w:spacing w:before="0" w:beforeAutospacing="0" w:after="0" w:afterAutospacing="0"/>
                          </w:pPr>
                          <w:r>
                            <w:rPr>
                              <w:rFonts w:ascii="Calibri" w:eastAsia="Times New Roman" w:hAnsi="Calibri"/>
                              <w:sz w:val="14"/>
                              <w:szCs w:val="14"/>
                            </w:rPr>
                            <w:t> </w:t>
                          </w:r>
                        </w:p>
                      </w:txbxContent>
                    </v:textbox>
                  </v:rect>
                  <v:shape id="Łącznik prosty ze strzałką 406" o:spid="_x0000_s1184" type="#_x0000_t32" style="position:absolute;left:17635;top:14799;width:0;height:446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ao5cIAAADbAAAADwAAAGRycy9kb3ducmV2LnhtbERPy2rCQBTdF/yH4Rbc1Ukj2hKdiClU&#10;Qjclad1fMzcPzNwJmdGkf99ZFLo8nPf+MJte3Gl0nWUFz6sIBHFldceNgu+v96dXEM4ja+wtk4If&#10;cnBIFw97TLSduKB76RsRQtglqKD1fkikdFVLBt3KDsSBq+1o0Ac4NlKPOIVw08s4irbSYMehocWB&#10;3lqqruXNKFi/XFxWnzfxrflYf+Ynm5XFtlBq+TgfdyA8zf5f/OfOtYJNWB++hB8g0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ao5cIAAADbAAAADwAAAAAAAAAAAAAA&#10;AAChAgAAZHJzL2Rvd25yZXYueG1sUEsFBgAAAAAEAAQA+QAAAJADAAAAAA==&#10;" strokecolor="#335a8a">
                    <v:stroke endarrow="open"/>
                  </v:shape>
                  <v:shape id="Łącznik prosty ze strzałką 410" o:spid="_x0000_s1185" type="#_x0000_t32" style="position:absolute;left:86840;top:14799;width:0;height:446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nMMcIAAADbAAAADwAAAGRycy9kb3ducmV2LnhtbESPQUsDMRSE74L/ITzBm01aqcjatGih&#10;uFe7PfT42DyTpZuXJYndtb++EQoeh5n5hlltJt+LM8XUBdYwnykQxG0wHVsNh2b39AoiZWSDfWDS&#10;8EsJNuv7uxVWJoz8Red9tqJAOFWoweU8VFKm1pHHNAsDcfG+Q/SYi4xWmohjgfteLpR6kR47LgsO&#10;B9o6ak/7H68hmmFXk28utVLu2X5+2GNzGrV+fJje30BkmvJ/+NaujYblHP6+lB8g1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LnMMcIAAADbAAAADwAAAAAAAAAAAAAA&#10;AAChAgAAZHJzL2Rvd25yZXYueG1sUEsFBgAAAAAEAAQA+QAAAJADAAAAAA==&#10;" strokecolor="#335a8a">
                    <v:stroke endarrow="open"/>
                  </v:shape>
                  <v:shape id="Łącznik prosty ze strzałką 411" o:spid="_x0000_s1186" type="#_x0000_t32" style="position:absolute;left:72879;top:14873;width:0;height:43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iTCcQAAADbAAAADwAAAGRycy9kb3ducmV2LnhtbESPQWvCQBSE70L/w/IKvemmCdoSXaUp&#10;tEgvkrTen9lnEsy+DdmNSf99tyB4HGbmG2azm0wrrtS7xrKC50UEgri0uuFKwc/3x/wVhPPIGlvL&#10;pOCXHOy2D7MNptqOnNO18JUIEHYpKqi971IpXVmTQbewHXHwzrY36IPsK6l7HAPctDKOopU02HBY&#10;qLGj95rKSzEYBcnLyWXn4zIeqq/ksP+0WZGvcqWeHqe3NQhPk7+Hb+29VrCM4f9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JMJxAAAANsAAAAPAAAAAAAAAAAA&#10;AAAAAKECAABkcnMvZG93bnJldi54bWxQSwUGAAAAAAQABAD5AAAAkgMAAAAA&#10;" strokecolor="#335a8a">
                    <v:stroke endarrow="open"/>
                  </v:shape>
                  <v:shape id="Łącznik prosty ze strzałką 412" o:spid="_x0000_s1187" type="#_x0000_t32" style="position:absolute;left:58937;top:14873;width:0;height:439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RZtMQAAADbAAAADwAAAGRycy9kb3ducmV2LnhtbESPQWvCQBSE70L/w/IKvZlNI42SukpT&#10;qEgvkrTeX7PPJDT7NmQ3Gv99tyB4HGbmG2a9nUwnzjS41rKC5ygGQVxZ3XKt4PvrY74C4Tyyxs4y&#10;KbiSg+3mYbbGTNsLF3QufS0ChF2GChrv+0xKVzVk0EW2Jw7eyQ4GfZBDLfWAlwA3nUziOJUGWw4L&#10;Dfb03lD1W45GwWL54/LT8SUZ68/FYb+zeVmkhVJPj9PbKwhPk7+Hb+29VpAm8P8l/AC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lFm0xAAAANsAAAAPAAAAAAAAAAAA&#10;AAAAAKECAABkcnMvZG93bnJldi54bWxQSwUGAAAAAAQABAD5AAAAkgMAAAAA&#10;" strokecolor="#335a8a">
                    <v:stroke endarrow="open"/>
                  </v:shape>
                  <v:shape id="Łącznik prosty ze strzałką 413" o:spid="_x0000_s1188" type="#_x0000_t32" style="position:absolute;left:45124;top:14760;width:47;height:450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hx8IAAADcAAAADwAAAGRycy9kb3ducmV2LnhtbESPQUsDMRCF74L/IYzgzSZVKLI2LVYo&#10;7tWuB4/DZkyWbiZLErurv945CN5meG/e+2a7X+KoLpTLkNjCemVAEffJDewtvHfHu0dQpSI7HBOT&#10;hW8qsN9dX22xcWnmN7qcqlcSwqVBC6HWqdG69IEillWaiEX7TDlilTV77TLOEh5HfW/MRkccWBoC&#10;TvQSqD+fvqKF7KZjS7H7aY0JD/714D+682zt7c3y/ASq0lL/zX/XrRP8jeDLMzKB3v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lhx8IAAADcAAAADwAAAAAAAAAAAAAA&#10;AAChAgAAZHJzL2Rvd25yZXYueG1sUEsFBgAAAAAEAAQA+QAAAJADAAAAAA==&#10;" strokecolor="#335a8a">
                    <v:stroke endarrow="open"/>
                  </v:shape>
                  <v:shape id="Łącznik prosty ze strzałką 414" o:spid="_x0000_s1189" type="#_x0000_t32" style="position:absolute;left:31105;top:14760;width:0;height:4503;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XEXMAAAADcAAAADwAAAGRycy9kb3ducmV2LnhtbERPTWsCMRC9F/ofwhR6q4kWRLZGaQvS&#10;vep66HHYTJPFzWRJorvtr28Ewds83uest5PvxYVi6gJrmM8UCOI2mI6thmOze1mBSBnZYB+YNPxS&#10;gu3m8WGNlQkj7+lyyFaUEE4VanA5D5WUqXXkMc3CQFy4nxA95gKjlSbiWMJ9LxdKLaXHjkuDw4E+&#10;HbWnw9lriGbY1eSbv1op92q/Pux3cxq1fn6a3t9AZJryXXxz16bMX87h+ky5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NlxFzAAAAA3AAAAA8AAAAAAAAAAAAAAAAA&#10;oQIAAGRycy9kb3ducmV2LnhtbFBLBQYAAAAABAAEAPkAAACOAwAAAAA=&#10;" strokecolor="#335a8a">
                    <v:stroke endarrow="open"/>
                  </v:shape>
                  <w10:wrap type="none"/>
                  <w10:anchorlock/>
                </v:group>
              </w:pict>
            </w:r>
          </w:p>
        </w:tc>
      </w:tr>
    </w:tbl>
    <w:p w:rsidR="00092521" w:rsidRPr="00424449" w:rsidRDefault="00092521" w:rsidP="00092521">
      <w:pPr>
        <w:jc w:val="center"/>
        <w:rPr>
          <w:i/>
        </w:rPr>
      </w:pPr>
      <w:r w:rsidRPr="00424449">
        <w:rPr>
          <w:i/>
        </w:rPr>
        <w:t>Źródło: Opracowanie własne.</w:t>
      </w:r>
    </w:p>
    <w:p w:rsidR="00424449" w:rsidRDefault="00424449" w:rsidP="00424449">
      <w:pPr>
        <w:rPr>
          <w:i/>
        </w:rPr>
        <w:sectPr w:rsidR="00424449" w:rsidSect="002B679A">
          <w:pgSz w:w="16838" w:h="11906" w:orient="landscape"/>
          <w:pgMar w:top="1701" w:right="1418" w:bottom="1418" w:left="1418" w:header="709" w:footer="709" w:gutter="0"/>
          <w:cols w:space="708"/>
          <w:titlePg/>
          <w:docGrid w:linePitch="360"/>
        </w:sectPr>
      </w:pPr>
    </w:p>
    <w:p w:rsidR="00424449" w:rsidRDefault="00424449" w:rsidP="00FD5E31">
      <w:pPr>
        <w:pStyle w:val="Nagwek4"/>
        <w:spacing w:after="200"/>
        <w:rPr>
          <w:rFonts w:asciiTheme="minorHAnsi" w:hAnsiTheme="minorHAnsi"/>
        </w:rPr>
      </w:pPr>
      <w:r>
        <w:rPr>
          <w:rFonts w:asciiTheme="minorHAnsi" w:hAnsiTheme="minorHAnsi"/>
        </w:rPr>
        <w:lastRenderedPageBreak/>
        <w:t xml:space="preserve">PI 8.5 </w:t>
      </w:r>
      <w:r w:rsidRPr="0058451F">
        <w:rPr>
          <w:rFonts w:asciiTheme="minorHAnsi" w:hAnsiTheme="minorHAnsi"/>
        </w:rPr>
        <w:t>Dostęp do zatrudnienia dla osób poszukujących pracy i osób biernych zawodowo, w tym długotrwale bezrobotnych oraz oddalonych od rynku pracy, także poprzez lokalne inicjatywy na rzecz zatrudnienia oraz wspieranie mobilności pracowników</w:t>
      </w:r>
    </w:p>
    <w:p w:rsidR="00424449" w:rsidRDefault="00424449" w:rsidP="009348FF">
      <w:pPr>
        <w:rPr>
          <w:rFonts w:eastAsia="Arial" w:cs="Arial"/>
        </w:rPr>
      </w:pPr>
      <w:r>
        <w:rPr>
          <w:rFonts w:eastAsia="Arial" w:cs="Arial"/>
        </w:rPr>
        <w:t xml:space="preserve">Dla priorytetu inwestycyjnego 8.5 obrano cel szczegółowy: </w:t>
      </w:r>
      <w:r>
        <w:rPr>
          <w:rFonts w:eastAsia="Arial" w:cs="Arial"/>
          <w:i/>
          <w:iCs/>
        </w:rPr>
        <w:t>Wzrost liczby osób lepiej przygotowanych do wejścia i utrzymania się na rynku pracy.</w:t>
      </w:r>
      <w:r>
        <w:rPr>
          <w:rFonts w:eastAsia="Arial" w:cs="Arial"/>
        </w:rPr>
        <w:t xml:space="preserve"> Jest on trafny i bazuje na diagnozie sytuacji regionalnego rynku pracy, choć zwrócić należy uwagę, że wskaźnik monitorujący ten cel dotyczy zatrudnienia, jest on więc nieco węższy. Takie podejście tłumaczyć można opisaną w </w:t>
      </w:r>
      <w:r w:rsidRPr="00C9387C">
        <w:rPr>
          <w:rFonts w:eastAsia="Arial" w:cs="Arial"/>
        </w:rPr>
        <w:t>RPO WP 2014-2020</w:t>
      </w:r>
      <w:r>
        <w:rPr>
          <w:rFonts w:eastAsia="Arial" w:cs="Arial"/>
        </w:rPr>
        <w:t xml:space="preserve"> koncentracją na osobach młodszych i bez doświadczenia. Interwencja ma przygotować je do aktywności zawodowej i do pracy i w tym kontekście proponowany cel można uznać za prawidłowy. </w:t>
      </w:r>
    </w:p>
    <w:p w:rsidR="00424449" w:rsidRDefault="00424449" w:rsidP="009348FF">
      <w:pPr>
        <w:rPr>
          <w:rFonts w:eastAsia="Arial" w:cs="Arial"/>
        </w:rPr>
      </w:pPr>
      <w:r>
        <w:rPr>
          <w:rFonts w:eastAsia="Arial" w:cs="Arial"/>
        </w:rPr>
        <w:t xml:space="preserve">W programie określono stosunkowo szeroko grupę docelową. Oprócz wspomnianych osób młodych i bez doświadczenia wymienia się osoby bez kwalifikacji, długotrwale bezrobotne, starsze, z terenów wiejskich, niepełnosprawne i kobiety. W uzasadnieniu wykazano zasadność wsparcia tych grup. </w:t>
      </w:r>
    </w:p>
    <w:p w:rsidR="00424449" w:rsidRDefault="00424449" w:rsidP="009348FF">
      <w:pPr>
        <w:rPr>
          <w:rFonts w:eastAsia="Arial" w:cs="Arial"/>
        </w:rPr>
      </w:pPr>
      <w:r>
        <w:rPr>
          <w:rFonts w:eastAsia="Arial" w:cs="Arial"/>
        </w:rPr>
        <w:t>W programie przewiduje się szeroki wachlarz instrumentów, podkreśla się przy tym założenie o ich kompleksowości i dostosowaniu do indywidualnej sytuacji, a także potrzeb rynku pracy.</w:t>
      </w:r>
      <w:r>
        <w:rPr>
          <w:rStyle w:val="Odwoanieprzypisudolnego"/>
          <w:rFonts w:eastAsia="Arial" w:cs="Arial"/>
        </w:rPr>
        <w:footnoteReference w:id="60"/>
      </w:r>
      <w:r>
        <w:rPr>
          <w:rFonts w:eastAsia="Arial" w:cs="Arial"/>
        </w:rPr>
        <w:t xml:space="preserve"> Bardzo interesująca jest idea wsparcia adaptacyjnego pracownika, który uzyskał zatrudnienie w ramach projektu. Tego typu interwencja może przyczynić się do poprawienia skuteczności interwencji i większej stabilności zatrudnienia. </w:t>
      </w:r>
      <w:r>
        <w:rPr>
          <w:rStyle w:val="Odwoanieprzypisudolnego"/>
          <w:rFonts w:eastAsia="Arial" w:cs="Arial"/>
        </w:rPr>
        <w:footnoteReference w:id="61"/>
      </w:r>
    </w:p>
    <w:p w:rsidR="00424449" w:rsidRDefault="00424449" w:rsidP="00424449">
      <w:pPr>
        <w:rPr>
          <w:rFonts w:eastAsia="Arial" w:cs="Arial"/>
        </w:rPr>
      </w:pPr>
      <w:r>
        <w:rPr>
          <w:rFonts w:eastAsia="Arial" w:cs="Arial"/>
        </w:rPr>
        <w:t xml:space="preserve">Należy pozytywnie ocenić propozycję koncentracji wsparcia na dostosowaniu kompetencji i kwalifikacji osób bezrobotnych do potrzeb rynku pracy oraz oczekiwań pracodawców, a także objęcia szczególnym wsparciem obszarów wiejskich i osób zamierzających odejść z rolnictwa. Koncentrację terytorialną (przedstawiona w opisie kierunkowych zasad wyboru projektów) również uznano za uzasadnioną. </w:t>
      </w:r>
      <w:r>
        <w:rPr>
          <w:rStyle w:val="Odwoanieprzypisudolnego"/>
          <w:rFonts w:eastAsia="Arial" w:cs="Arial"/>
        </w:rPr>
        <w:footnoteReference w:id="62"/>
      </w:r>
    </w:p>
    <w:p w:rsidR="00424449" w:rsidRDefault="00424449" w:rsidP="00424449">
      <w:pPr>
        <w:rPr>
          <w:rFonts w:eastAsia="Times New Roman" w:cstheme="minorHAnsi"/>
          <w:lang w:eastAsia="pl-PL"/>
        </w:rPr>
      </w:pPr>
      <w:r>
        <w:t>Interwencja zaplanowana w PI 8.5 zawiera odniesienia do współpracy publicznych służb zatrudnienia z jednostkami organizacyjnymi pomocy społecznej, co jest jednym z elementów nowelizacji ustawy o promocji zatrudnienia i instytucjach rynku pracy.</w:t>
      </w:r>
      <w:r>
        <w:rPr>
          <w:rStyle w:val="Odwoanieprzypisudolnego"/>
        </w:rPr>
        <w:footnoteReference w:id="63"/>
      </w:r>
      <w:r>
        <w:t xml:space="preserve"> Współpraca obu służb może podnieść efektywność działań aktywizacyjnych. Literatura uzasadniająca takie podejście jest bogata.</w:t>
      </w:r>
      <w:r>
        <w:rPr>
          <w:rStyle w:val="Odwoanieprzypisudolnego"/>
        </w:rPr>
        <w:footnoteReference w:id="64"/>
      </w:r>
      <w:r>
        <w:t xml:space="preserve"> Wskazuje ona na sztuczne rozdzielenie działań aktywizacyjnych PSZ i IPS</w:t>
      </w:r>
      <w:r w:rsidRPr="00B2089F">
        <w:rPr>
          <w:rFonts w:cstheme="minorHAnsi"/>
        </w:rPr>
        <w:t>.</w:t>
      </w:r>
      <w:r w:rsidRPr="00B2089F">
        <w:rPr>
          <w:rFonts w:cstheme="minorHAnsi"/>
          <w:vertAlign w:val="superscript"/>
        </w:rPr>
        <w:footnoteReference w:id="65"/>
      </w:r>
      <w:r w:rsidRPr="00B2089F">
        <w:rPr>
          <w:rFonts w:eastAsia="Times New Roman" w:cstheme="minorHAnsi"/>
          <w:lang w:eastAsia="pl-PL"/>
        </w:rPr>
        <w:t xml:space="preserve"> </w:t>
      </w:r>
    </w:p>
    <w:p w:rsidR="00424449" w:rsidRPr="00B47A26" w:rsidRDefault="00424449" w:rsidP="00092521">
      <w:pPr>
        <w:rPr>
          <w:rFonts w:eastAsia="Calibri" w:cs="Times New Roman"/>
        </w:rPr>
      </w:pPr>
      <w:r w:rsidRPr="00B47A26">
        <w:rPr>
          <w:rFonts w:eastAsia="Calibri" w:cs="Times New Roman"/>
        </w:rPr>
        <w:lastRenderedPageBreak/>
        <w:t xml:space="preserve">Aby </w:t>
      </w:r>
      <w:r>
        <w:rPr>
          <w:rFonts w:eastAsia="Calibri" w:cs="Times New Roman"/>
        </w:rPr>
        <w:t xml:space="preserve">podnieść efektywność </w:t>
      </w:r>
      <w:r w:rsidRPr="00F50D49">
        <w:rPr>
          <w:rFonts w:eastAsia="Calibri" w:cs="Times New Roman"/>
        </w:rPr>
        <w:t>zaplanowan</w:t>
      </w:r>
      <w:r>
        <w:rPr>
          <w:rFonts w:eastAsia="Calibri" w:cs="Times New Roman"/>
        </w:rPr>
        <w:t>ych działań sugeruje się zwrócić uwagę na następujące kwestie przy opracowywaniu szczegółowego opisu priorytetów:</w:t>
      </w:r>
    </w:p>
    <w:p w:rsidR="00424449" w:rsidRDefault="00424449" w:rsidP="000965A8">
      <w:pPr>
        <w:numPr>
          <w:ilvl w:val="0"/>
          <w:numId w:val="15"/>
        </w:numPr>
        <w:spacing w:before="120" w:after="120"/>
        <w:jc w:val="lowKashida"/>
        <w:rPr>
          <w:rFonts w:eastAsia="Arial" w:cs="Arial"/>
        </w:rPr>
      </w:pPr>
      <w:r>
        <w:rPr>
          <w:rFonts w:eastAsia="Arial" w:cs="Arial"/>
        </w:rPr>
        <w:t>Warto rozważyć, czy w ramach interwencji ma być maksymalizowana efektywność (np. poprzez ograniczenie grup docelowych wsparcia, przeznaczenie większych kwot jednostkowo przypadających na aktywizowanego, zapewnienie kompleksowego i indywidualnego wsparcia) czy skala interwencji (objęcie wsparciem przedstawicieli obecnie określonych grup docelowych). Zasadne jest skoncentrowanie interwencji na mniejszej grupie osób w</w:t>
      </w:r>
      <w:r w:rsidR="002F7C58">
        <w:rPr>
          <w:rFonts w:eastAsia="Arial" w:cs="Arial"/>
        </w:rPr>
        <w:t> </w:t>
      </w:r>
      <w:r>
        <w:rPr>
          <w:rFonts w:eastAsia="Arial" w:cs="Arial"/>
        </w:rPr>
        <w:t xml:space="preserve"> najtrudniejszej sytuacji, ale zaoferowania im wsparcia silnie zindywidualizowanego, co pozwoli osiągnąć wysoki efekt zatrudnieniowy (w tym też efekt netto).</w:t>
      </w:r>
      <w:r>
        <w:rPr>
          <w:rStyle w:val="Odwoanieprzypisudolnego"/>
          <w:rFonts w:eastAsia="Arial" w:cs="Arial"/>
        </w:rPr>
        <w:footnoteReference w:id="66"/>
      </w:r>
      <w:r>
        <w:rPr>
          <w:rFonts w:eastAsia="Arial" w:cs="Arial"/>
        </w:rPr>
        <w:t xml:space="preserve"> </w:t>
      </w:r>
    </w:p>
    <w:p w:rsidR="00424449" w:rsidRDefault="00424449" w:rsidP="000965A8">
      <w:pPr>
        <w:numPr>
          <w:ilvl w:val="0"/>
          <w:numId w:val="15"/>
        </w:numPr>
        <w:spacing w:before="120" w:after="120"/>
        <w:jc w:val="lowKashida"/>
        <w:rPr>
          <w:rFonts w:eastAsia="Arial" w:cs="Arial"/>
        </w:rPr>
      </w:pPr>
      <w:r>
        <w:rPr>
          <w:rFonts w:eastAsia="Arial" w:cs="Arial"/>
        </w:rPr>
        <w:t>Dotychczasowe doświadczenia pokazują, że indywidualizacja wsparcia, pomimo deklaracji, nie zawsze jest faktycznie stosowana.</w:t>
      </w:r>
      <w:r>
        <w:rPr>
          <w:rStyle w:val="Odwoanieprzypisudolnego"/>
          <w:rFonts w:eastAsia="Arial" w:cs="Arial"/>
        </w:rPr>
        <w:footnoteReference w:id="67"/>
      </w:r>
      <w:r>
        <w:rPr>
          <w:rFonts w:eastAsia="Arial" w:cs="Arial"/>
        </w:rPr>
        <w:t xml:space="preserve"> Dlatego też wskazane jest położenie szczególnie dużego nacisku na wysokiej jakości indywidualne doradztwo we wstępnej fazie </w:t>
      </w:r>
      <w:r w:rsidRPr="00EB21C1">
        <w:rPr>
          <w:rFonts w:eastAsia="Arial" w:cs="Arial"/>
        </w:rPr>
        <w:t>projektu</w:t>
      </w:r>
      <w:r>
        <w:rPr>
          <w:rFonts w:eastAsia="Arial" w:cs="Arial"/>
        </w:rPr>
        <w:t xml:space="preserve"> oraz określanie zakresu wsparcia na podstawie diagnozy i planu działania. Oznacza to odejście od dotychczasowej praktyki, zgodnie z którą zakres wsparcia był szczegółowo określany na etapie wniosku o dofinansowanie. </w:t>
      </w:r>
    </w:p>
    <w:p w:rsidR="00424449" w:rsidRDefault="00424449" w:rsidP="000965A8">
      <w:pPr>
        <w:numPr>
          <w:ilvl w:val="0"/>
          <w:numId w:val="15"/>
        </w:numPr>
        <w:spacing w:before="120" w:after="120"/>
        <w:jc w:val="lowKashida"/>
        <w:rPr>
          <w:rFonts w:eastAsia="Arial" w:cs="Arial"/>
        </w:rPr>
      </w:pPr>
      <w:r>
        <w:rPr>
          <w:rFonts w:eastAsia="Arial" w:cs="Arial"/>
        </w:rPr>
        <w:t>W związku z wpisaniem do programu projektów uwzględniających wykorzystanie instrumentów i usług zgodnych z ustawodawstwem krajowym przez PUP, zasadne może być uwzględnienie też finansowania zwrotnego. Planowana nowelizacja u</w:t>
      </w:r>
      <w:r w:rsidRPr="00CD48C4">
        <w:rPr>
          <w:rFonts w:eastAsia="Arial" w:cs="Arial"/>
        </w:rPr>
        <w:t>staw</w:t>
      </w:r>
      <w:r>
        <w:rPr>
          <w:rFonts w:eastAsia="Arial" w:cs="Arial"/>
        </w:rPr>
        <w:t>y</w:t>
      </w:r>
      <w:r w:rsidRPr="00CD48C4">
        <w:rPr>
          <w:rFonts w:eastAsia="Arial" w:cs="Arial"/>
        </w:rPr>
        <w:t xml:space="preserve"> o promocji zatrudnienia i instytucjach rynku pracy </w:t>
      </w:r>
      <w:r>
        <w:rPr>
          <w:rFonts w:eastAsia="Arial" w:cs="Arial"/>
        </w:rPr>
        <w:t>wprowadza nowy instrument:</w:t>
      </w:r>
      <w:r>
        <w:rPr>
          <w:rFonts w:eastAsia="Arial" w:cs="Arial"/>
          <w:i/>
        </w:rPr>
        <w:t xml:space="preserve"> </w:t>
      </w:r>
      <w:r w:rsidRPr="00B47A26">
        <w:rPr>
          <w:rFonts w:eastAsia="Arial" w:cs="Arial"/>
        </w:rPr>
        <w:t>p</w:t>
      </w:r>
      <w:r w:rsidRPr="00A4045D">
        <w:rPr>
          <w:rFonts w:eastAsia="Arial" w:cs="Arial"/>
        </w:rPr>
        <w:t>ożyczk</w:t>
      </w:r>
      <w:r>
        <w:rPr>
          <w:rFonts w:eastAsia="Arial" w:cs="Arial"/>
        </w:rPr>
        <w:t xml:space="preserve">ę na podjęcie działalności gospodarczej. W okresie programowania inne nowelizacje mogą wprowadzać także inne instrumenty o podobnym charakterze. Ich stosowanie w </w:t>
      </w:r>
      <w:r w:rsidRPr="00C9387C">
        <w:rPr>
          <w:rFonts w:eastAsia="Arial" w:cs="Arial"/>
        </w:rPr>
        <w:t>RPO WP 2014-2020</w:t>
      </w:r>
      <w:r>
        <w:rPr>
          <w:rFonts w:eastAsia="Arial" w:cs="Arial"/>
        </w:rPr>
        <w:t xml:space="preserve"> będzie możliwe jednak tylko w przypadku uwzględnienia wykorzystania instrumentów finansowych.</w:t>
      </w:r>
    </w:p>
    <w:p w:rsidR="00424449" w:rsidRDefault="00424449" w:rsidP="009348FF">
      <w:pPr>
        <w:spacing w:before="120" w:after="120"/>
        <w:ind w:left="720"/>
        <w:jc w:val="lowKashida"/>
        <w:rPr>
          <w:rFonts w:eastAsia="Arial" w:cs="Arial"/>
          <w:i/>
          <w:iCs/>
        </w:rPr>
      </w:pPr>
    </w:p>
    <w:p w:rsidR="00424449" w:rsidRDefault="00424449" w:rsidP="00424449">
      <w:pPr>
        <w:pStyle w:val="Nagwek4"/>
        <w:spacing w:after="200"/>
        <w:rPr>
          <w:rFonts w:asciiTheme="minorHAnsi" w:hAnsiTheme="minorHAnsi"/>
        </w:rPr>
      </w:pPr>
      <w:r>
        <w:rPr>
          <w:rFonts w:asciiTheme="minorHAnsi" w:hAnsiTheme="minorHAnsi"/>
        </w:rPr>
        <w:t xml:space="preserve">PI 8.7 </w:t>
      </w:r>
      <w:r w:rsidRPr="00A675BF">
        <w:rPr>
          <w:rFonts w:asciiTheme="minorHAnsi" w:hAnsiTheme="minorHAnsi"/>
        </w:rPr>
        <w:t>Praca na własny rachunek, przedsiębiorczość i tworzenie przedsiębiorstw, w tym innowacyjnych mikro-, małych i średnich przedsiębiorstw</w:t>
      </w:r>
    </w:p>
    <w:p w:rsidR="00424449" w:rsidRDefault="00424449" w:rsidP="009348FF">
      <w:pPr>
        <w:rPr>
          <w:rFonts w:eastAsia="Arial" w:cs="Arial"/>
        </w:rPr>
      </w:pPr>
      <w:r>
        <w:rPr>
          <w:rFonts w:eastAsia="Arial" w:cs="Arial"/>
        </w:rPr>
        <w:t xml:space="preserve">Dla priorytetu 8.7 cel szczegółowy brzmi: </w:t>
      </w:r>
      <w:r>
        <w:rPr>
          <w:rFonts w:eastAsia="Arial" w:cs="Arial"/>
          <w:i/>
          <w:iCs/>
        </w:rPr>
        <w:t>Wzrost przedsiębiorczości i samozatrudnienia w regionie</w:t>
      </w:r>
      <w:r>
        <w:rPr>
          <w:rFonts w:eastAsia="Arial" w:cs="Arial"/>
        </w:rPr>
        <w:t>. Jest on trafny i bazuje na wyzwaniach zdiagnozowanych w Sekcji 1 R</w:t>
      </w:r>
      <w:r w:rsidRPr="00C9387C">
        <w:rPr>
          <w:rFonts w:eastAsia="Arial" w:cs="Arial"/>
        </w:rPr>
        <w:t>PO WP 2014-2020</w:t>
      </w:r>
      <w:r>
        <w:rPr>
          <w:rFonts w:eastAsia="Arial" w:cs="Arial"/>
        </w:rPr>
        <w:t>.</w:t>
      </w:r>
    </w:p>
    <w:p w:rsidR="00424449" w:rsidRDefault="00424449" w:rsidP="009348FF">
      <w:r>
        <w:rPr>
          <w:rFonts w:eastAsia="Arial" w:cs="Arial"/>
        </w:rPr>
        <w:t xml:space="preserve">Zakładany rezultat zostanie osiągnięty dzięki wsparciu bezzwrotnemu na rozpoczęcie działalności gospodarczej dla osób w najtrudniejszej sytuacji (osoby bezrobotne do 30 r.ż. i pow. 50 r.ż, długotrwale bezrobotne, bezrobotne kobiety oraz osoby niepełnosprawnych), a także </w:t>
      </w:r>
      <w:r>
        <w:rPr>
          <w:rFonts w:eastAsia="Arial" w:cs="Arial"/>
        </w:rPr>
        <w:lastRenderedPageBreak/>
        <w:t xml:space="preserve">preferencyjnym pożyczkom na rozpoczęcie działalności gospodarczej. </w:t>
      </w:r>
      <w:r>
        <w:t xml:space="preserve">Instrumenty te będą uzupełnione o wsparcie doradczo-szkoleniowe, dostosowane do potrzeb uczestników. Jako uzupełniające narzędzie zaplanowano bezzwrotne dotacje na spłatę pożyczki do 20% jej wartości. </w:t>
      </w:r>
    </w:p>
    <w:p w:rsidR="00424449" w:rsidRDefault="00424449" w:rsidP="009348FF">
      <w:pPr>
        <w:jc w:val="lowKashida"/>
        <w:rPr>
          <w:rFonts w:eastAsia="Arial" w:cs="Arial"/>
        </w:rPr>
      </w:pPr>
      <w:r>
        <w:rPr>
          <w:rFonts w:eastAsia="Arial" w:cs="Arial"/>
        </w:rPr>
        <w:t xml:space="preserve">Zakres interwencji przyjęty w </w:t>
      </w:r>
      <w:r w:rsidRPr="00C9387C">
        <w:rPr>
          <w:rFonts w:eastAsia="Arial" w:cs="Arial"/>
        </w:rPr>
        <w:t>RPO WP 2014-2020</w:t>
      </w:r>
      <w:r>
        <w:rPr>
          <w:rFonts w:eastAsia="Arial" w:cs="Arial"/>
        </w:rPr>
        <w:t xml:space="preserve"> należy ocenić pozytywnie. W programie znalazło się kluczowe rozstrzygnięcie związane ze wskazaniem grup docelowych pomocy bezzwrotnej. Wobec operatorów instrumentów zwrotnych sformułowano adekwatne wymagania. Logika interwencji zawiera najważniejsze komponenty efektywnego wsparcia, czyli uzupełnienie pomocy finansowej o</w:t>
      </w:r>
      <w:r w:rsidR="002F7C58">
        <w:rPr>
          <w:rFonts w:eastAsia="Arial" w:cs="Arial"/>
        </w:rPr>
        <w:t> </w:t>
      </w:r>
      <w:r>
        <w:rPr>
          <w:rFonts w:eastAsia="Arial" w:cs="Arial"/>
        </w:rPr>
        <w:t xml:space="preserve"> doradztwo świadczone zarówno przed podjęciem działalności, jak i w początkowym okresie działalności.</w:t>
      </w:r>
      <w:r>
        <w:rPr>
          <w:rStyle w:val="Odwoanieprzypisudolnego"/>
          <w:rFonts w:eastAsia="Arial" w:cs="Arial"/>
        </w:rPr>
        <w:footnoteReference w:id="68"/>
      </w:r>
    </w:p>
    <w:p w:rsidR="00424449" w:rsidRDefault="00424449" w:rsidP="009348FF">
      <w:pPr>
        <w:jc w:val="lowKashida"/>
        <w:rPr>
          <w:rFonts w:eastAsia="Arial" w:cs="Arial"/>
        </w:rPr>
      </w:pPr>
      <w:r>
        <w:rPr>
          <w:rFonts w:eastAsia="Arial" w:cs="Arial"/>
        </w:rPr>
        <w:t>Na etapie wdrażania interwencji warto rozważyć następujące kwestie:</w:t>
      </w:r>
    </w:p>
    <w:p w:rsidR="00424449" w:rsidRDefault="00424449" w:rsidP="000965A8">
      <w:pPr>
        <w:pStyle w:val="Akapitzlist"/>
        <w:numPr>
          <w:ilvl w:val="0"/>
          <w:numId w:val="32"/>
        </w:numPr>
        <w:jc w:val="lowKashida"/>
        <w:rPr>
          <w:rFonts w:eastAsia="Arial" w:cs="Arial"/>
        </w:rPr>
      </w:pPr>
      <w:r>
        <w:rPr>
          <w:rFonts w:eastAsia="Arial" w:cs="Arial"/>
        </w:rPr>
        <w:t>Położenie dużego nacisku na wysokiej jakości, dostosowane do indywidualnych potrzeb doradztwo. Tego typu wsparcie może mieć kluczowe znaczenie w pierwszym okresie działalności przedsiębiorstwa. Dotychczasowe doświadczenia pokazują, że wsparcie było oferowane w formie wystandaryzowanych kursów szkoleniowych, natomiast brakowało wsparcia doradczego.</w:t>
      </w:r>
      <w:r>
        <w:rPr>
          <w:rStyle w:val="Odwoanieprzypisudolnego"/>
          <w:rFonts w:eastAsia="Arial" w:cs="Arial"/>
        </w:rPr>
        <w:footnoteReference w:id="69"/>
      </w:r>
      <w:r>
        <w:rPr>
          <w:rFonts w:eastAsia="Arial" w:cs="Arial"/>
        </w:rPr>
        <w:t xml:space="preserve"> </w:t>
      </w:r>
    </w:p>
    <w:p w:rsidR="00424449" w:rsidRPr="00B47A26" w:rsidRDefault="00424449" w:rsidP="000965A8">
      <w:pPr>
        <w:pStyle w:val="Akapitzlist"/>
        <w:numPr>
          <w:ilvl w:val="0"/>
          <w:numId w:val="32"/>
        </w:numPr>
        <w:jc w:val="lowKashida"/>
        <w:rPr>
          <w:rFonts w:eastAsia="Arial" w:cs="Arial"/>
        </w:rPr>
      </w:pPr>
      <w:r>
        <w:rPr>
          <w:rFonts w:eastAsia="Arial" w:cs="Arial"/>
        </w:rPr>
        <w:t xml:space="preserve">Zapewnienie wysokiej jakości wsparcia doradczego wymaga wyboru odpowiednich projektodawców, dysponujących doświadczeniem i dobrze przygotowaną kadrą. </w:t>
      </w:r>
    </w:p>
    <w:p w:rsidR="00424449" w:rsidRDefault="00424449" w:rsidP="00424449">
      <w:pPr>
        <w:pStyle w:val="Nagwek4"/>
        <w:spacing w:after="200"/>
        <w:rPr>
          <w:rFonts w:asciiTheme="minorHAnsi" w:hAnsiTheme="minorHAnsi"/>
        </w:rPr>
      </w:pPr>
      <w:r>
        <w:rPr>
          <w:rFonts w:asciiTheme="minorHAnsi" w:hAnsiTheme="minorHAnsi"/>
        </w:rPr>
        <w:t xml:space="preserve">PI 8.8 </w:t>
      </w:r>
      <w:r w:rsidRPr="00A675BF">
        <w:rPr>
          <w:rFonts w:asciiTheme="minorHAnsi" w:hAnsiTheme="minorHAnsi"/>
        </w:rPr>
        <w:t xml:space="preserve">Równość mężczyzn i kobiet we wszystkich dziedzinach, w tym dostęp do zatrudnienia, rozwój kariery, godzenie życia zawodowego i prywatnego oraz promowanie równości wynagrodzeń za </w:t>
      </w:r>
      <w:r w:rsidR="006556F3" w:rsidRPr="00A675BF">
        <w:rPr>
          <w:rFonts w:asciiTheme="minorHAnsi" w:hAnsiTheme="minorHAnsi"/>
        </w:rPr>
        <w:t>tak</w:t>
      </w:r>
      <w:r w:rsidR="006556F3">
        <w:rPr>
          <w:rFonts w:asciiTheme="minorHAnsi" w:hAnsiTheme="minorHAnsi"/>
        </w:rPr>
        <w:t>ą</w:t>
      </w:r>
      <w:r w:rsidR="006556F3" w:rsidRPr="00A675BF">
        <w:rPr>
          <w:rFonts w:asciiTheme="minorHAnsi" w:hAnsiTheme="minorHAnsi"/>
        </w:rPr>
        <w:t xml:space="preserve"> </w:t>
      </w:r>
      <w:r w:rsidRPr="00A675BF">
        <w:rPr>
          <w:rFonts w:asciiTheme="minorHAnsi" w:hAnsiTheme="minorHAnsi"/>
        </w:rPr>
        <w:t>samą pracę</w:t>
      </w:r>
    </w:p>
    <w:p w:rsidR="00424449" w:rsidRDefault="00424449" w:rsidP="009348FF">
      <w:pPr>
        <w:rPr>
          <w:rFonts w:eastAsia="Arial" w:cs="Arial"/>
        </w:rPr>
      </w:pPr>
      <w:r>
        <w:rPr>
          <w:rFonts w:eastAsia="Arial" w:cs="Arial"/>
        </w:rPr>
        <w:t xml:space="preserve">Dla priorytetu 8.8 wskazano cel szczegółowy: </w:t>
      </w:r>
      <w:r>
        <w:rPr>
          <w:rFonts w:eastAsia="Arial" w:cs="Arial"/>
          <w:i/>
          <w:iCs/>
        </w:rPr>
        <w:t xml:space="preserve">Zwiększenie poziomu zatrudnienia wśród osób </w:t>
      </w:r>
      <w:r w:rsidR="00537D15">
        <w:rPr>
          <w:rFonts w:eastAsia="Arial" w:cs="Arial"/>
          <w:i/>
          <w:iCs/>
        </w:rPr>
        <w:t xml:space="preserve">mających </w:t>
      </w:r>
      <w:r>
        <w:rPr>
          <w:rFonts w:eastAsia="Arial" w:cs="Arial"/>
          <w:i/>
          <w:iCs/>
        </w:rPr>
        <w:t>utrudniony dostęp do rynku pracy z powodu sprawowania opieki nad dziećmi do lat 3</w:t>
      </w:r>
      <w:r>
        <w:rPr>
          <w:rFonts w:eastAsia="Arial" w:cs="Arial"/>
        </w:rPr>
        <w:t xml:space="preserve">. Jest on trafny i uzasadniony w diagnozie sytuacji regionalnego rynku pracy. </w:t>
      </w:r>
    </w:p>
    <w:p w:rsidR="00424449" w:rsidRDefault="00424449" w:rsidP="009348FF">
      <w:pPr>
        <w:rPr>
          <w:rFonts w:eastAsia="Arial" w:cs="Arial"/>
        </w:rPr>
      </w:pPr>
      <w:r>
        <w:rPr>
          <w:rFonts w:eastAsia="Arial" w:cs="Arial"/>
        </w:rPr>
        <w:t xml:space="preserve">Pozytywnie należy ocenić koncentrację wsparcia na zwiększeniu dostępu do usług opiekuńczych i rezygnację z innych obszarów interwencji (takich jak np. elastyczne formy zatrudnienia). Wobec niewielkich środków jest to niewątpliwie słuszne posunięcie. W województwie podkarpackim odsetek w wieku 0-3 lata objętych opieką wynosił w 2012 r. zaledwie 3,3% (wobec 3,8% w kraju), przy czym na terenach wiejskich praktycznie nie ma dostępu do tego typu usług. Równocześnie </w:t>
      </w:r>
      <w:r>
        <w:t>według BAEL obowiązki rodzinne są jedną z głównych przyczyn bierności zawodowej. Dotyczy to szczególnie młodych kobiet (w wieku 25-34 lata), spośród których 76% deklaruje, że powodem bierności są obowiązki rodzinne i opiekuńcze.</w:t>
      </w:r>
      <w:r>
        <w:rPr>
          <w:rStyle w:val="Odwoanieprzypisudolnego"/>
        </w:rPr>
        <w:footnoteReference w:id="70"/>
      </w:r>
      <w:r>
        <w:t xml:space="preserve"> Poprawa dostępu do usług opiekuńczych wskazywana jest jako jedno z głównych działań ułatwiających godzenie życia rodzinnego i zawodowego.</w:t>
      </w:r>
      <w:r>
        <w:rPr>
          <w:rStyle w:val="Odwoanieprzypisudolnego"/>
        </w:rPr>
        <w:footnoteReference w:id="71"/>
      </w:r>
      <w:r>
        <w:t xml:space="preserve"> </w:t>
      </w:r>
    </w:p>
    <w:p w:rsidR="00424449" w:rsidRPr="00B47A26" w:rsidRDefault="00424449" w:rsidP="009348FF">
      <w:pPr>
        <w:rPr>
          <w:rFonts w:eastAsia="Arial" w:cs="Arial"/>
        </w:rPr>
      </w:pPr>
      <w:r>
        <w:rPr>
          <w:rFonts w:eastAsia="Arial" w:cs="Arial"/>
        </w:rPr>
        <w:lastRenderedPageBreak/>
        <w:t>W trakcie przygotowania szczegółowego opisu priorytetów sugeruje się rozważenie następujących kwestii:</w:t>
      </w:r>
    </w:p>
    <w:p w:rsidR="00424449" w:rsidRDefault="00424449" w:rsidP="000965A8">
      <w:pPr>
        <w:numPr>
          <w:ilvl w:val="0"/>
          <w:numId w:val="24"/>
        </w:numPr>
        <w:rPr>
          <w:rFonts w:eastAsia="Arial" w:cs="Arial"/>
        </w:rPr>
      </w:pPr>
      <w:r w:rsidRPr="009143BF">
        <w:rPr>
          <w:rFonts w:eastAsia="Arial" w:cs="Arial"/>
        </w:rPr>
        <w:t xml:space="preserve">W kierunkowych zasadach wyboru projektów wskazano na priorytetową grupę docelową: </w:t>
      </w:r>
      <w:r w:rsidRPr="009143BF">
        <w:rPr>
          <w:rFonts w:eastAsia="Arial" w:cs="Arial"/>
          <w:i/>
        </w:rPr>
        <w:t>rodzice znajdujący się w najtrudniejszej sytuacji.</w:t>
      </w:r>
      <w:r w:rsidRPr="009143BF">
        <w:rPr>
          <w:rFonts w:eastAsia="Arial" w:cs="Arial"/>
        </w:rPr>
        <w:t xml:space="preserve"> W kontekście planowanego wsparcia pojęcie to może wymagać dalszego uszczegółowienia. Sugeruje się w uwzględnić między innymi </w:t>
      </w:r>
      <w:r>
        <w:rPr>
          <w:rFonts w:eastAsia="Arial" w:cs="Arial"/>
          <w:iCs/>
        </w:rPr>
        <w:t xml:space="preserve">rodziców </w:t>
      </w:r>
      <w:r>
        <w:rPr>
          <w:rFonts w:eastAsia="Arial" w:cs="Arial"/>
        </w:rPr>
        <w:t>bezrobotnych/nieaktywnych zawodowo w gospodarstwach utrzymywanych z</w:t>
      </w:r>
      <w:r w:rsidR="002F7C58">
        <w:rPr>
          <w:rFonts w:eastAsia="Arial" w:cs="Arial"/>
        </w:rPr>
        <w:t> </w:t>
      </w:r>
      <w:r>
        <w:rPr>
          <w:rFonts w:eastAsia="Arial" w:cs="Arial"/>
        </w:rPr>
        <w:t xml:space="preserve"> zarobków jednej osoby. Wyniki analiz sytuacji ubogich pracujący wskazują, że niska intensywność pracy w gospodarstwie domowym (połączona z niskimi kwalifikacjami osób dorosłych oraz pracą na umowę na czas określony) są głównymi przyczynami zjawiska pracujących ubogich.</w:t>
      </w:r>
      <w:r>
        <w:rPr>
          <w:rFonts w:eastAsia="Arial" w:cs="Arial"/>
          <w:vertAlign w:val="superscript"/>
        </w:rPr>
        <w:footnoteReference w:id="72"/>
      </w:r>
      <w:r>
        <w:rPr>
          <w:rFonts w:eastAsia="Arial" w:cs="Arial"/>
        </w:rPr>
        <w:t xml:space="preserve"> Jest to związane z istniejącymi barierami dla godzeniem życia rodzinnego i zawodowego. </w:t>
      </w:r>
      <w:r w:rsidRPr="00FC1E5A">
        <w:rPr>
          <w:rFonts w:eastAsia="Arial" w:cs="Arial"/>
        </w:rPr>
        <w:t xml:space="preserve">W </w:t>
      </w:r>
      <w:r>
        <w:rPr>
          <w:rFonts w:eastAsia="Arial" w:cs="Arial"/>
        </w:rPr>
        <w:t xml:space="preserve">województwie </w:t>
      </w:r>
      <w:r w:rsidRPr="00FC1E5A">
        <w:rPr>
          <w:rFonts w:eastAsia="Arial" w:cs="Arial"/>
        </w:rPr>
        <w:t>podkarpackim jest relatywnie bardzo wysokie zagrożenie ubóstwem wśród pracujących</w:t>
      </w:r>
      <w:r>
        <w:rPr>
          <w:rFonts w:eastAsia="Arial" w:cs="Arial"/>
        </w:rPr>
        <w:t>.</w:t>
      </w:r>
      <w:r>
        <w:rPr>
          <w:rFonts w:eastAsia="Arial" w:cs="Arial"/>
          <w:vertAlign w:val="superscript"/>
        </w:rPr>
        <w:footnoteReference w:id="73"/>
      </w:r>
      <w:r w:rsidRPr="00FC1E5A">
        <w:rPr>
          <w:rFonts w:eastAsia="Arial" w:cs="Arial"/>
        </w:rPr>
        <w:t xml:space="preserve"> </w:t>
      </w:r>
      <w:r>
        <w:rPr>
          <w:rFonts w:eastAsia="Arial" w:cs="Arial"/>
        </w:rPr>
        <w:t>W</w:t>
      </w:r>
      <w:r w:rsidRPr="00FC1E5A">
        <w:rPr>
          <w:rFonts w:eastAsia="Arial" w:cs="Arial"/>
        </w:rPr>
        <w:t xml:space="preserve"> diagnozie osi VI</w:t>
      </w:r>
      <w:r>
        <w:rPr>
          <w:rFonts w:eastAsia="Arial" w:cs="Arial"/>
        </w:rPr>
        <w:t>I</w:t>
      </w:r>
      <w:r w:rsidRPr="00FC1E5A">
        <w:rPr>
          <w:rFonts w:eastAsia="Arial" w:cs="Arial"/>
        </w:rPr>
        <w:t xml:space="preserve"> można przeczytać </w:t>
      </w:r>
      <w:r w:rsidRPr="00EB21C1">
        <w:rPr>
          <w:rFonts w:eastAsia="Arial" w:cs="Arial"/>
          <w:i/>
        </w:rPr>
        <w:t>Wśród osób korzystających z pomocy społecznej w województwie podkarpackim bardzo liczną grupę stanowią rodziny z dziećmi, zwłaszcza rodziny wielodzietne, niepełne</w:t>
      </w:r>
      <w:r>
        <w:rPr>
          <w:rFonts w:eastAsia="Arial" w:cs="Arial"/>
        </w:rPr>
        <w:t xml:space="preserve">. </w:t>
      </w:r>
    </w:p>
    <w:p w:rsidR="00424449" w:rsidRDefault="00424449" w:rsidP="009348FF">
      <w:pPr>
        <w:pStyle w:val="Nagwek4"/>
        <w:rPr>
          <w:rFonts w:asciiTheme="minorHAnsi" w:hAnsiTheme="minorHAnsi"/>
        </w:rPr>
      </w:pPr>
      <w:r>
        <w:rPr>
          <w:rFonts w:asciiTheme="minorHAnsi" w:hAnsiTheme="minorHAnsi"/>
        </w:rPr>
        <w:t xml:space="preserve">PI 8.9 </w:t>
      </w:r>
      <w:r w:rsidRPr="00A675BF">
        <w:rPr>
          <w:rFonts w:asciiTheme="minorHAnsi" w:hAnsiTheme="minorHAnsi"/>
        </w:rPr>
        <w:t>Przystosowanie pracowników, przedsiębiorstw i przedsiębiorców do zmian</w:t>
      </w:r>
    </w:p>
    <w:p w:rsidR="00424449" w:rsidRDefault="00424449" w:rsidP="00A329D8">
      <w:pPr>
        <w:spacing w:before="240"/>
        <w:rPr>
          <w:rFonts w:eastAsia="Arial" w:cs="Arial"/>
        </w:rPr>
      </w:pPr>
      <w:r>
        <w:rPr>
          <w:rFonts w:eastAsia="Arial" w:cs="Arial"/>
        </w:rPr>
        <w:t xml:space="preserve">W przypadku PI 8.9 wskazano dwa cele szczegółowe: </w:t>
      </w:r>
      <w:r>
        <w:rPr>
          <w:rFonts w:eastAsia="Arial" w:cs="Arial"/>
          <w:i/>
          <w:iCs/>
        </w:rPr>
        <w:t xml:space="preserve">Poprawę kwalifikacji pracowników przedsiębiorstw zgodnie ze zdiagnozowanymi potrzebami rozwojowymi </w:t>
      </w:r>
      <w:r>
        <w:rPr>
          <w:rFonts w:eastAsia="Arial" w:cs="Arial"/>
        </w:rPr>
        <w:t>oraz</w:t>
      </w:r>
      <w:r>
        <w:rPr>
          <w:rFonts w:eastAsia="Arial" w:cs="Arial"/>
          <w:i/>
          <w:iCs/>
        </w:rPr>
        <w:t xml:space="preserve"> </w:t>
      </w:r>
      <w:r w:rsidRPr="00106FC4">
        <w:rPr>
          <w:rFonts w:eastAsia="Arial" w:cs="Arial"/>
          <w:i/>
          <w:iCs/>
        </w:rPr>
        <w:t>Zwiększenie adaptacyjności przedsiębiorstw i pracowników, dotkniętych procesami zmiany gospodarczej</w:t>
      </w:r>
      <w:r>
        <w:rPr>
          <w:rFonts w:eastAsia="Arial" w:cs="Arial"/>
          <w:i/>
          <w:iCs/>
        </w:rPr>
        <w:t xml:space="preserve">. </w:t>
      </w:r>
      <w:r>
        <w:rPr>
          <w:rFonts w:eastAsia="Arial" w:cs="Arial"/>
        </w:rPr>
        <w:t>Są one trafne i uzasadnione z punktu widzenia sytuacji na regionalnym rynku pracy. Odpowiadają one na wyzwania wskazane w sekcji 1.1.1 i oczekiwanym efektom wsparcia.</w:t>
      </w:r>
    </w:p>
    <w:p w:rsidR="00424449" w:rsidRDefault="00424449" w:rsidP="00424449">
      <w:pPr>
        <w:tabs>
          <w:tab w:val="left" w:pos="8647"/>
        </w:tabs>
      </w:pPr>
      <w:r>
        <w:rPr>
          <w:rFonts w:eastAsia="Arial" w:cs="Arial"/>
        </w:rPr>
        <w:t>Skierowanie wsparcia do mikro, małych i średnich przedsiębiorstw jest trafne i spójne ze strategiami krajowymi. Jedną z barier dla zwiększania inwestycji w kompetencje pracowników są przekonania pracodawców. Jak pokazuje badanie pt. „Bilans kapitału ludzkiego”, p</w:t>
      </w:r>
      <w:r>
        <w:t>racodawcy, którzy nie inwestują w poprawę kompetencji pracowników wskazują najczęściej na następujące przyczyny:</w:t>
      </w:r>
    </w:p>
    <w:p w:rsidR="00424449" w:rsidRDefault="00424449" w:rsidP="000965A8">
      <w:pPr>
        <w:pStyle w:val="Akapitzlist"/>
        <w:numPr>
          <w:ilvl w:val="0"/>
          <w:numId w:val="33"/>
        </w:numPr>
        <w:tabs>
          <w:tab w:val="left" w:pos="8647"/>
        </w:tabs>
        <w:spacing w:after="120"/>
        <w:contextualSpacing w:val="0"/>
      </w:pPr>
      <w:r>
        <w:t>wysoki poziom zadowolenia z dopasowania umiejętności pracowników do potrzeb stanowisk pracy,</w:t>
      </w:r>
    </w:p>
    <w:p w:rsidR="00424449" w:rsidRDefault="00424449" w:rsidP="000965A8">
      <w:pPr>
        <w:pStyle w:val="Akapitzlist"/>
        <w:numPr>
          <w:ilvl w:val="0"/>
          <w:numId w:val="33"/>
        </w:numPr>
        <w:tabs>
          <w:tab w:val="left" w:pos="8647"/>
        </w:tabs>
        <w:spacing w:after="120"/>
        <w:contextualSpacing w:val="0"/>
      </w:pPr>
      <w:r>
        <w:t>zbyt wysoki koszt szkoleń przy jednoczesnej niskiej aktywności w kierunku umożliwiającym ich obniżenie,</w:t>
      </w:r>
    </w:p>
    <w:p w:rsidR="00424449" w:rsidRDefault="00424449" w:rsidP="000965A8">
      <w:pPr>
        <w:pStyle w:val="Akapitzlist"/>
        <w:numPr>
          <w:ilvl w:val="0"/>
          <w:numId w:val="33"/>
        </w:numPr>
        <w:tabs>
          <w:tab w:val="left" w:pos="8647"/>
        </w:tabs>
        <w:spacing w:after="120"/>
        <w:contextualSpacing w:val="0"/>
      </w:pPr>
      <w:r>
        <w:t>wysoki priorytet dla innych rodzajów inwestycji powstrzymujących inwestycje w kapitał ludzki,</w:t>
      </w:r>
    </w:p>
    <w:p w:rsidR="00424449" w:rsidRDefault="00424449" w:rsidP="000965A8">
      <w:pPr>
        <w:pStyle w:val="Akapitzlist"/>
        <w:numPr>
          <w:ilvl w:val="0"/>
          <w:numId w:val="33"/>
        </w:numPr>
        <w:tabs>
          <w:tab w:val="left" w:pos="8647"/>
        </w:tabs>
        <w:spacing w:after="120"/>
        <w:contextualSpacing w:val="0"/>
      </w:pPr>
      <w:r>
        <w:lastRenderedPageBreak/>
        <w:t>stosunkowo rzadko wskazywane są trudności związane z określeniem potrzeb szkoleniowych we własnej firmie/instytucji.</w:t>
      </w:r>
      <w:r>
        <w:rPr>
          <w:rStyle w:val="Odwoanieprzypisudolnego"/>
        </w:rPr>
        <w:footnoteReference w:id="74"/>
      </w:r>
    </w:p>
    <w:p w:rsidR="00424449" w:rsidRDefault="00424449" w:rsidP="00424449">
      <w:pPr>
        <w:tabs>
          <w:tab w:val="left" w:pos="8647"/>
        </w:tabs>
        <w:rPr>
          <w:rFonts w:eastAsia="Arial" w:cs="Arial"/>
        </w:rPr>
      </w:pPr>
      <w:r>
        <w:t>Dowodzi to, że samo udostępnienie środków na inwestycje w kapitał ludzki nie jest wystarczające, wobec braku zainteresowania wśród części pracodawców. Może to prowadzić do korzystania z możliwości szkolenia pracowników przez najbardziej ambitnych przedsiębiorców. Jest to częściowo uzasadnione z punktu widzenia osiągania celów związanych z poprawą konkurencyjności regionu, jednak ograniczać będzie dostęp do kształcenia pracownikom mniej dynamicznych firm, a w dłuższej perspektywie będzie zmniejszać ich szanse na rynku pracy</w:t>
      </w:r>
      <w:r w:rsidRPr="00AC6F5A">
        <w:t>. Dlatego też pozytywnie</w:t>
      </w:r>
      <w:r>
        <w:t xml:space="preserve"> należy ocenić planowane działania, które mają przyczynić się do </w:t>
      </w:r>
      <w:r>
        <w:rPr>
          <w:rFonts w:eastAsia="Arial" w:cs="Arial"/>
        </w:rPr>
        <w:t xml:space="preserve">wzrostu świadomości na temat korzyści z inwestowania w zasoby pracownicze, co odpowiada na zdiagnozowany problem. Przezwyciężenie tej bariery w upowszechnianiu nabywania kompetencji przez pracowników pozwoli skuteczniej i trafniej realizować dalsze wsparcie. </w:t>
      </w:r>
    </w:p>
    <w:p w:rsidR="00424449" w:rsidRDefault="00424449" w:rsidP="00424449">
      <w:pPr>
        <w:tabs>
          <w:tab w:val="left" w:pos="8647"/>
        </w:tabs>
        <w:rPr>
          <w:rFonts w:eastAsia="Arial" w:cs="Arial"/>
        </w:rPr>
      </w:pPr>
      <w:r>
        <w:rPr>
          <w:rFonts w:eastAsia="Arial" w:cs="Arial"/>
        </w:rPr>
        <w:t>Pozytywnie należy ocenić również pomoc dla tych pracodawców, którzy doświadczają trudności, a</w:t>
      </w:r>
      <w:r w:rsidR="002F7C58">
        <w:rPr>
          <w:rFonts w:eastAsia="Arial" w:cs="Arial"/>
        </w:rPr>
        <w:t> </w:t>
      </w:r>
      <w:r>
        <w:rPr>
          <w:rFonts w:eastAsia="Arial" w:cs="Arial"/>
        </w:rPr>
        <w:t xml:space="preserve"> nawet redukują zatrudnienie. W sytuacji, kiedy nie uda się uniknąć redukcji zatrudnienia, zwolnieni pracownicy będą mogli uzyskać pomoc w ramach realizowanych projektów. Tak zaplanowane wsparcie ograniczy negatywne skutki procesów zmiany gospodarczej. Istotne jest, aby wsparcie było oferowane szybko, było dopasowane do rzeczywistych potrzeb i charakteryzowało się wysoką jakością. </w:t>
      </w:r>
    </w:p>
    <w:p w:rsidR="00424449" w:rsidRDefault="00424449" w:rsidP="009348FF">
      <w:pPr>
        <w:pStyle w:val="Nagwek4"/>
        <w:rPr>
          <w:rFonts w:asciiTheme="minorHAnsi" w:hAnsiTheme="minorHAnsi"/>
        </w:rPr>
      </w:pPr>
      <w:r>
        <w:rPr>
          <w:rFonts w:asciiTheme="minorHAnsi" w:hAnsiTheme="minorHAnsi"/>
        </w:rPr>
        <w:t>PI 8.10 Aktywne i zdrowe starzenie się</w:t>
      </w:r>
    </w:p>
    <w:p w:rsidR="00424449" w:rsidRDefault="00424449" w:rsidP="00A329D8">
      <w:pPr>
        <w:spacing w:before="240"/>
        <w:jc w:val="lowKashida"/>
        <w:rPr>
          <w:rFonts w:eastAsia="Arial" w:cs="Arial"/>
        </w:rPr>
      </w:pPr>
      <w:r>
        <w:rPr>
          <w:rFonts w:eastAsia="Arial" w:cs="Arial"/>
        </w:rPr>
        <w:t xml:space="preserve">Dla PI 8.10 określono cel szczegółowy: </w:t>
      </w:r>
      <w:r>
        <w:rPr>
          <w:rFonts w:eastAsia="Arial" w:cs="Arial"/>
          <w:i/>
          <w:iCs/>
        </w:rPr>
        <w:t>Utrzymanie aktywności zawodowej i dobrego stanu zdrowia mieszkańców województwa</w:t>
      </w:r>
      <w:r>
        <w:rPr>
          <w:rFonts w:eastAsia="Arial" w:cs="Arial"/>
        </w:rPr>
        <w:t xml:space="preserve">. Jest on trafny i uzasadniony, uwzględniając wyniki diagnozy sytuacji zdrowotnej mieszkańców regionu oraz regionalnego rynku pracy. </w:t>
      </w:r>
    </w:p>
    <w:p w:rsidR="00424449" w:rsidRDefault="00424449" w:rsidP="009348FF">
      <w:pPr>
        <w:jc w:val="lowKashida"/>
        <w:rPr>
          <w:rFonts w:eastAsia="Arial" w:cs="Arial"/>
        </w:rPr>
      </w:pPr>
      <w:r>
        <w:rPr>
          <w:rFonts w:eastAsia="Arial" w:cs="Arial"/>
        </w:rPr>
        <w:t>Obecnie głównym powodem bierności zawodowej osób pow. 45 r.ż. jest stan zdrowia.</w:t>
      </w:r>
      <w:r>
        <w:rPr>
          <w:rStyle w:val="Odwoanieprzypisudolnego"/>
          <w:rFonts w:eastAsia="Arial" w:cs="Arial"/>
        </w:rPr>
        <w:footnoteReference w:id="75"/>
      </w:r>
      <w:r>
        <w:rPr>
          <w:rFonts w:eastAsia="Arial" w:cs="Arial"/>
        </w:rPr>
        <w:t xml:space="preserve"> Znaczenie tego czynnika, wraz z podnoszeniem wieku emerytalnego i ograniczeniem możliwości nabywania świadczeń emerytalnych, może wzrastać. Równocześnie Polacy relatywnie słabo oceniają swój stan zdrowia. Także w porównaniach międzynarodowych widać, że ich stan zdrowia jest niezadowalający.</w:t>
      </w:r>
      <w:r>
        <w:rPr>
          <w:rStyle w:val="Odwoanieprzypisudolnego"/>
          <w:rFonts w:eastAsia="Arial" w:cs="Arial"/>
        </w:rPr>
        <w:footnoteReference w:id="76"/>
      </w:r>
    </w:p>
    <w:p w:rsidR="00424449" w:rsidRDefault="00424449" w:rsidP="009348FF">
      <w:pPr>
        <w:jc w:val="lowKashida"/>
        <w:rPr>
          <w:rFonts w:eastAsia="Arial" w:cs="Arial"/>
        </w:rPr>
      </w:pPr>
      <w:r>
        <w:rPr>
          <w:rFonts w:eastAsia="Arial" w:cs="Arial"/>
        </w:rPr>
        <w:t>Interwencja oddziałuje zarówno prewencyjnie (programy profilaktyczne, przekwalifikowanie pracowników pracujących w warunkach szkodliwych), jak i wspiera powrót na rynek pracy (rehabilitacja lecznicza).</w:t>
      </w:r>
      <w:r>
        <w:rPr>
          <w:rStyle w:val="Odwoanieprzypisudolnego"/>
          <w:rFonts w:eastAsia="Arial" w:cs="Arial"/>
        </w:rPr>
        <w:footnoteReference w:id="77"/>
      </w:r>
      <w:r>
        <w:rPr>
          <w:rFonts w:eastAsia="Arial" w:cs="Arial"/>
        </w:rPr>
        <w:t xml:space="preserve"> Komplementarnie do pomocy związanej z fizycznym aspektem zdrowia, zaplanowano wsparcie psychologiczne pracowników. Uzupełnieniem do szeroko zakrojonych działań związanych ze zdrowiem pracowników są inicjatywy wspierające zarządzanie wiekiem w przedsiębiorstwach, co pomoże wzmocnić pozytywny trend przedłużania aktywności zawodowej </w:t>
      </w:r>
      <w:r>
        <w:rPr>
          <w:rFonts w:eastAsia="Arial" w:cs="Arial"/>
        </w:rPr>
        <w:lastRenderedPageBreak/>
        <w:t>osób starszych</w:t>
      </w:r>
      <w:r>
        <w:rPr>
          <w:rStyle w:val="Odwoanieprzypisudolnego"/>
          <w:rFonts w:eastAsia="Arial" w:cs="Arial"/>
        </w:rPr>
        <w:footnoteReference w:id="78"/>
      </w:r>
      <w:r>
        <w:rPr>
          <w:rFonts w:eastAsia="Arial" w:cs="Arial"/>
        </w:rPr>
        <w:t>. Wskazane działania są uzasadnione i potrzebne. Jednak istotne jest, aby przy stosunkowo niskiej alokacji na priorytet inwestycyjny maksymalizować możliwe oddziaływanie interwencji. Wskazane jest dalsze rozważenie, w jakich obszarach interwencja może faktycznie przyczynić się do widocznej i odczuwalnej poprawy. Przykładowo, planując działania z zakresu rehabilitacji leczniczej należy wziąć pod uwagę, że ZUS prowadzi tego typu działania na dosyć szeroką skalę i w roku 2011 w województwie podkarpackim rehabilitacji poddano 3,6 tys. osób, wśród których dominowały osoby starsze.</w:t>
      </w:r>
      <w:r>
        <w:rPr>
          <w:rStyle w:val="Odwoanieprzypisudolnego"/>
          <w:rFonts w:eastAsia="Arial" w:cs="Arial"/>
        </w:rPr>
        <w:footnoteReference w:id="79"/>
      </w:r>
      <w:r>
        <w:rPr>
          <w:rFonts w:eastAsia="Arial" w:cs="Arial"/>
        </w:rPr>
        <w:t xml:space="preserve"> </w:t>
      </w:r>
    </w:p>
    <w:p w:rsidR="00424449" w:rsidRDefault="00424449" w:rsidP="009348FF">
      <w:pPr>
        <w:rPr>
          <w:rFonts w:eastAsia="Arial" w:cs="Arial"/>
          <w:b/>
        </w:rPr>
      </w:pPr>
      <w:r>
        <w:rPr>
          <w:rFonts w:eastAsia="Arial" w:cs="Arial"/>
        </w:rPr>
        <w:t>Na podstawie przeprowadzonych analiz proponuje się rozważyć następujące kwestie</w:t>
      </w:r>
      <w:r w:rsidRPr="00D71AF6">
        <w:rPr>
          <w:rFonts w:eastAsia="Arial" w:cs="Arial"/>
        </w:rPr>
        <w:t xml:space="preserve"> </w:t>
      </w:r>
      <w:r>
        <w:rPr>
          <w:rFonts w:eastAsia="Arial" w:cs="Arial"/>
        </w:rPr>
        <w:t>wytycznych w</w:t>
      </w:r>
      <w:r w:rsidR="002F7C58">
        <w:rPr>
          <w:rFonts w:eastAsia="Arial" w:cs="Arial"/>
        </w:rPr>
        <w:t> </w:t>
      </w:r>
      <w:r>
        <w:rPr>
          <w:rFonts w:eastAsia="Arial" w:cs="Arial"/>
        </w:rPr>
        <w:t xml:space="preserve"> dokumentach wdrożeniowych:</w:t>
      </w:r>
    </w:p>
    <w:p w:rsidR="00424449" w:rsidRDefault="00424449" w:rsidP="000965A8">
      <w:pPr>
        <w:numPr>
          <w:ilvl w:val="0"/>
          <w:numId w:val="16"/>
        </w:numPr>
        <w:spacing w:before="120" w:after="120"/>
        <w:ind w:left="318" w:hanging="261"/>
        <w:contextualSpacing/>
        <w:jc w:val="lowKashida"/>
        <w:rPr>
          <w:rFonts w:eastAsia="Arial" w:cs="Arial"/>
        </w:rPr>
      </w:pPr>
      <w:r>
        <w:rPr>
          <w:rFonts w:eastAsia="Arial" w:cs="Arial"/>
        </w:rPr>
        <w:t>Wskazane wydaje się skupienie części działań profilaktycznych na osobach zamieszkujących małe miasta i tereny wiejskie. Dodatkowo koncentracja ta może obejmować osoby o niższym wykształceniu, a także mężczyzn.</w:t>
      </w:r>
      <w:r>
        <w:rPr>
          <w:rStyle w:val="Odwoanieprzypisudolnego"/>
          <w:rFonts w:eastAsia="Arial" w:cs="Arial"/>
        </w:rPr>
        <w:footnoteReference w:id="80"/>
      </w:r>
      <w:r>
        <w:rPr>
          <w:rFonts w:eastAsia="Arial" w:cs="Arial"/>
        </w:rPr>
        <w:t xml:space="preserve"> </w:t>
      </w:r>
    </w:p>
    <w:p w:rsidR="00424449" w:rsidRDefault="00424449" w:rsidP="000965A8">
      <w:pPr>
        <w:numPr>
          <w:ilvl w:val="0"/>
          <w:numId w:val="16"/>
        </w:numPr>
        <w:spacing w:before="120" w:after="120"/>
        <w:ind w:left="318" w:hanging="261"/>
        <w:contextualSpacing/>
        <w:jc w:val="lowKashida"/>
        <w:rPr>
          <w:rFonts w:eastAsia="Arial" w:cs="Arial"/>
        </w:rPr>
      </w:pPr>
      <w:r>
        <w:rPr>
          <w:rFonts w:eastAsia="Arial" w:cs="Arial"/>
        </w:rPr>
        <w:t>Działania z zakresu przekwalifikowania pracowników pracujących w warunkach szkodliwych powinny być starannie zaplanowane i zaadresowane do pracowników branż/przedsiębiorstw w</w:t>
      </w:r>
      <w:r w:rsidR="002F7C58">
        <w:rPr>
          <w:rFonts w:eastAsia="Arial" w:cs="Arial"/>
        </w:rPr>
        <w:t> </w:t>
      </w:r>
      <w:r>
        <w:rPr>
          <w:rFonts w:eastAsia="Arial" w:cs="Arial"/>
        </w:rPr>
        <w:t xml:space="preserve"> których występuje koncentracja tego typu problemów.</w:t>
      </w:r>
      <w:r>
        <w:rPr>
          <w:rStyle w:val="Odwoanieprzypisudolnego"/>
          <w:rFonts w:eastAsia="Arial" w:cs="Arial"/>
        </w:rPr>
        <w:footnoteReference w:id="81"/>
      </w:r>
      <w:r>
        <w:rPr>
          <w:rFonts w:eastAsia="Arial" w:cs="Arial"/>
        </w:rPr>
        <w:t xml:space="preserve"> Wsparcie powinno być wzmocnione o</w:t>
      </w:r>
      <w:r w:rsidR="002F7C58">
        <w:rPr>
          <w:rFonts w:eastAsia="Arial" w:cs="Arial"/>
        </w:rPr>
        <w:t> </w:t>
      </w:r>
      <w:r>
        <w:rPr>
          <w:rFonts w:eastAsia="Arial" w:cs="Arial"/>
        </w:rPr>
        <w:t xml:space="preserve"> wysokiej jakości doradztwo zawodowe i pośrednictwo pracy, tak aby zminimalizować ryzyko nietrafionych inwestycji w poprawę kwalifikacji.</w:t>
      </w:r>
    </w:p>
    <w:p w:rsidR="00424449" w:rsidRDefault="00424449" w:rsidP="009348FF">
      <w:pPr>
        <w:pStyle w:val="Nagwek3"/>
        <w:rPr>
          <w:rFonts w:asciiTheme="minorHAnsi" w:hAnsiTheme="minorHAnsi"/>
        </w:rPr>
      </w:pPr>
      <w:r>
        <w:rPr>
          <w:rFonts w:asciiTheme="minorHAnsi" w:hAnsiTheme="minorHAnsi"/>
        </w:rPr>
        <w:t>Ocena wskaźników</w:t>
      </w:r>
    </w:p>
    <w:p w:rsidR="00424449" w:rsidRDefault="00424449" w:rsidP="009348FF">
      <w:pPr>
        <w:keepNext/>
        <w:keepLines/>
        <w:spacing w:before="200" w:after="0"/>
        <w:outlineLvl w:val="3"/>
        <w:rPr>
          <w:rFonts w:eastAsia="Times New Roman"/>
          <w:b/>
          <w:bCs/>
          <w:i/>
          <w:iCs/>
          <w:color w:val="366092"/>
        </w:rPr>
      </w:pPr>
      <w:r>
        <w:rPr>
          <w:rFonts w:eastAsia="Times New Roman"/>
          <w:b/>
          <w:bCs/>
          <w:i/>
          <w:iCs/>
          <w:color w:val="366092"/>
        </w:rPr>
        <w:t>Wskaźniki rezultatu strategicznego</w:t>
      </w:r>
    </w:p>
    <w:p w:rsidR="00424449" w:rsidRDefault="00424449" w:rsidP="00424449">
      <w:r>
        <w:t xml:space="preserve">W poszczególnych priorytetach inwestycyjnych wykorzystano adekwatne wskaźniki rezultatu. </w:t>
      </w:r>
    </w:p>
    <w:p w:rsidR="00424449" w:rsidRDefault="00424449" w:rsidP="002B502A">
      <w:pPr>
        <w:pStyle w:val="Legenda"/>
      </w:pPr>
      <w:r>
        <w:t xml:space="preserve">Tabela </w:t>
      </w:r>
      <w:r w:rsidR="001B04AC">
        <w:fldChar w:fldCharType="begin"/>
      </w:r>
      <w:r w:rsidR="008E1D74">
        <w:instrText xml:space="preserve"> SEQ Tabela \* ARABIC </w:instrText>
      </w:r>
      <w:r w:rsidR="001B04AC">
        <w:fldChar w:fldCharType="separate"/>
      </w:r>
      <w:r w:rsidR="00832320">
        <w:rPr>
          <w:noProof/>
        </w:rPr>
        <w:t>25</w:t>
      </w:r>
      <w:r w:rsidR="001B04AC">
        <w:rPr>
          <w:noProof/>
        </w:rPr>
        <w:fldChar w:fldCharType="end"/>
      </w:r>
      <w:r>
        <w:t xml:space="preserve">. Oś priorytetowa VII – ocena wskaźników rezultatu </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527"/>
        <w:gridCol w:w="2287"/>
        <w:gridCol w:w="2472"/>
      </w:tblGrid>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60" w:after="60"/>
              <w:jc w:val="center"/>
              <w:rPr>
                <w:rFonts w:eastAsia="Calibri" w:cstheme="minorHAnsi"/>
                <w:b/>
                <w:color w:val="FFFFFF" w:themeColor="background1"/>
                <w:sz w:val="20"/>
                <w:szCs w:val="20"/>
              </w:rPr>
            </w:pPr>
            <w:r w:rsidRPr="00AC6F5A">
              <w:rPr>
                <w:rFonts w:cstheme="minorHAnsi"/>
                <w:b/>
                <w:color w:val="FFFFFF" w:themeColor="background1"/>
                <w:sz w:val="20"/>
                <w:szCs w:val="20"/>
              </w:rPr>
              <w:t>wskaźnik rezultatu</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60" w:after="60"/>
              <w:jc w:val="center"/>
              <w:rPr>
                <w:rFonts w:eastAsia="Calibri" w:cstheme="minorHAnsi"/>
                <w:b/>
                <w:color w:val="FFFFFF" w:themeColor="background1"/>
                <w:sz w:val="20"/>
                <w:szCs w:val="20"/>
              </w:rPr>
            </w:pPr>
            <w:r w:rsidRPr="00AC6F5A">
              <w:rPr>
                <w:rFonts w:cstheme="minorHAnsi"/>
                <w:b/>
                <w:color w:val="FFFFFF" w:themeColor="background1"/>
                <w:sz w:val="20"/>
                <w:szCs w:val="20"/>
              </w:rPr>
              <w:t>priorytety inwestycyjne</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60" w:after="60"/>
              <w:jc w:val="center"/>
              <w:rPr>
                <w:rFonts w:eastAsia="Calibri" w:cstheme="minorHAnsi"/>
                <w:b/>
                <w:color w:val="FFFFFF" w:themeColor="background1"/>
                <w:sz w:val="20"/>
                <w:szCs w:val="20"/>
              </w:rPr>
            </w:pPr>
            <w:r w:rsidRPr="00AC6F5A">
              <w:rPr>
                <w:rFonts w:cstheme="minorHAnsi"/>
                <w:b/>
                <w:color w:val="FFFFFF" w:themeColor="background1"/>
                <w:sz w:val="20"/>
                <w:szCs w:val="20"/>
              </w:rPr>
              <w:t>ocena doboru wskaźnika</w:t>
            </w:r>
          </w:p>
        </w:tc>
      </w:tr>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pStyle w:val="NormalnyWeb"/>
              <w:spacing w:before="60" w:beforeAutospacing="0" w:after="60" w:afterAutospacing="0"/>
              <w:jc w:val="center"/>
              <w:rPr>
                <w:rFonts w:asciiTheme="minorHAnsi" w:hAnsiTheme="minorHAnsi" w:cstheme="minorHAnsi"/>
                <w:sz w:val="20"/>
                <w:szCs w:val="20"/>
                <w:lang w:eastAsia="en-US"/>
              </w:rPr>
            </w:pPr>
            <w:r w:rsidRPr="00AC6F5A">
              <w:rPr>
                <w:rFonts w:asciiTheme="minorHAnsi" w:hAnsiTheme="minorHAnsi" w:cstheme="minorHAnsi"/>
                <w:sz w:val="20"/>
                <w:szCs w:val="20"/>
              </w:rPr>
              <w:t>Liczba osób pracuj</w:t>
            </w:r>
            <w:r w:rsidR="002B502A">
              <w:rPr>
                <w:rFonts w:asciiTheme="minorHAnsi" w:hAnsiTheme="minorHAnsi" w:cstheme="minorHAnsi"/>
                <w:sz w:val="20"/>
                <w:szCs w:val="20"/>
              </w:rPr>
              <w:t>ących po opuszczeniu programu (</w:t>
            </w:r>
            <w:r w:rsidRPr="00AC6F5A">
              <w:rPr>
                <w:rFonts w:asciiTheme="minorHAnsi" w:hAnsiTheme="minorHAnsi" w:cstheme="minorHAnsi"/>
                <w:sz w:val="20"/>
                <w:szCs w:val="20"/>
              </w:rPr>
              <w:t>łącznie z pracującymi na własny rachunek)</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8.5</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brak uwag</w:t>
            </w:r>
          </w:p>
        </w:tc>
      </w:tr>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pStyle w:val="NormalnyWeb"/>
              <w:spacing w:before="60" w:beforeAutospacing="0" w:after="60" w:afterAutospacing="0"/>
              <w:jc w:val="center"/>
              <w:rPr>
                <w:rFonts w:asciiTheme="minorHAnsi" w:hAnsiTheme="minorHAnsi" w:cstheme="minorHAnsi"/>
                <w:sz w:val="20"/>
                <w:szCs w:val="20"/>
                <w:lang w:eastAsia="en-US"/>
              </w:rPr>
            </w:pPr>
            <w:r w:rsidRPr="00AC6F5A">
              <w:rPr>
                <w:rFonts w:asciiTheme="minorHAnsi" w:eastAsia="Calibri" w:hAnsiTheme="minorHAnsi" w:cstheme="minorHAnsi"/>
                <w:sz w:val="20"/>
                <w:szCs w:val="20"/>
              </w:rPr>
              <w:t>Liczba utworzonych miejsc pracy w ramach udzielonych z EFS środków na podjęcie działalności gospodarczej</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8.7</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brak uwag</w:t>
            </w:r>
          </w:p>
        </w:tc>
      </w:tr>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pStyle w:val="NormalnyWeb"/>
              <w:spacing w:before="60" w:beforeAutospacing="0" w:after="60" w:afterAutospacing="0"/>
              <w:jc w:val="center"/>
              <w:rPr>
                <w:rFonts w:asciiTheme="minorHAnsi" w:hAnsiTheme="minorHAnsi" w:cstheme="minorHAnsi"/>
                <w:sz w:val="20"/>
                <w:szCs w:val="20"/>
                <w:lang w:eastAsia="en-US"/>
              </w:rPr>
            </w:pPr>
            <w:r w:rsidRPr="00AC6F5A">
              <w:rPr>
                <w:rFonts w:asciiTheme="minorHAnsi" w:eastAsia="Calibri" w:hAnsiTheme="minorHAnsi" w:cstheme="minorHAnsi"/>
                <w:sz w:val="20"/>
                <w:szCs w:val="20"/>
              </w:rPr>
              <w:t>Liczba osób, które powróciły na rynek pracy po przerwie związanej z urodzeniem/ wychowaniem dziecka, po opuszczeniu programu</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8.8</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brak uwag</w:t>
            </w:r>
          </w:p>
        </w:tc>
      </w:tr>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2B502A">
            <w:pPr>
              <w:pStyle w:val="NormalnyWeb"/>
              <w:spacing w:before="60" w:beforeAutospacing="0" w:after="60" w:afterAutospacing="0"/>
              <w:jc w:val="center"/>
              <w:rPr>
                <w:rFonts w:asciiTheme="minorHAnsi" w:hAnsiTheme="minorHAnsi" w:cstheme="minorHAnsi"/>
                <w:sz w:val="20"/>
                <w:szCs w:val="20"/>
                <w:lang w:eastAsia="en-US"/>
              </w:rPr>
            </w:pPr>
            <w:r w:rsidRPr="00AC6F5A">
              <w:rPr>
                <w:rFonts w:asciiTheme="minorHAnsi" w:hAnsiTheme="minorHAnsi" w:cstheme="minorHAnsi"/>
                <w:sz w:val="20"/>
                <w:szCs w:val="20"/>
              </w:rPr>
              <w:t>Liczba mikroprzedsiębiorstw oraz małych i średnich przedsiębiorstw, które zrealizowały swój cel rozwojowy dzięki udziałowi w programie</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8.9</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brak uwag</w:t>
            </w:r>
          </w:p>
        </w:tc>
      </w:tr>
      <w:tr w:rsidR="00424449" w:rsidRPr="00AC6F5A" w:rsidTr="002B502A">
        <w:tc>
          <w:tcPr>
            <w:tcW w:w="452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2B502A">
            <w:pPr>
              <w:pStyle w:val="NormalnyWeb"/>
              <w:spacing w:before="60" w:beforeAutospacing="0" w:after="60" w:afterAutospacing="0"/>
              <w:jc w:val="center"/>
              <w:rPr>
                <w:rFonts w:asciiTheme="minorHAnsi" w:hAnsiTheme="minorHAnsi" w:cstheme="minorHAnsi"/>
                <w:sz w:val="20"/>
                <w:szCs w:val="20"/>
                <w:lang w:eastAsia="en-US"/>
              </w:rPr>
            </w:pPr>
            <w:r w:rsidRPr="00AC6F5A">
              <w:rPr>
                <w:rFonts w:asciiTheme="minorHAnsi" w:hAnsiTheme="minorHAnsi" w:cstheme="minorHAnsi"/>
                <w:sz w:val="20"/>
                <w:szCs w:val="20"/>
              </w:rPr>
              <w:t>Liczba osób, które po opuszczeniu programu podjęły pracę lub kontynuowały zatrudnienie</w:t>
            </w:r>
          </w:p>
        </w:tc>
        <w:tc>
          <w:tcPr>
            <w:tcW w:w="22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8.9, 8.10</w:t>
            </w:r>
          </w:p>
        </w:tc>
        <w:tc>
          <w:tcPr>
            <w:tcW w:w="247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60" w:after="60"/>
              <w:jc w:val="center"/>
              <w:rPr>
                <w:rFonts w:eastAsia="Calibri" w:cstheme="minorHAnsi"/>
                <w:sz w:val="20"/>
                <w:szCs w:val="20"/>
              </w:rPr>
            </w:pPr>
            <w:r w:rsidRPr="00AC6F5A">
              <w:rPr>
                <w:rFonts w:cstheme="minorHAnsi"/>
                <w:sz w:val="20"/>
                <w:szCs w:val="20"/>
              </w:rPr>
              <w:t>brak uwag</w:t>
            </w:r>
          </w:p>
        </w:tc>
      </w:tr>
    </w:tbl>
    <w:p w:rsidR="00424449" w:rsidRDefault="00424449" w:rsidP="009348FF">
      <w:pPr>
        <w:ind w:left="360"/>
        <w:jc w:val="center"/>
        <w:rPr>
          <w:rFonts w:eastAsia="Calibri"/>
          <w:i/>
          <w:sz w:val="20"/>
        </w:rPr>
      </w:pPr>
      <w:r>
        <w:rPr>
          <w:i/>
          <w:sz w:val="20"/>
        </w:rPr>
        <w:lastRenderedPageBreak/>
        <w:t>Źródło: Opracowanie własne</w:t>
      </w:r>
    </w:p>
    <w:p w:rsidR="00424449" w:rsidRDefault="00424449" w:rsidP="009348FF">
      <w:pPr>
        <w:keepNext/>
        <w:keepLines/>
        <w:spacing w:before="200" w:after="0"/>
        <w:outlineLvl w:val="3"/>
        <w:rPr>
          <w:rFonts w:eastAsia="Times New Roman"/>
          <w:b/>
          <w:bCs/>
          <w:i/>
          <w:iCs/>
          <w:color w:val="366092"/>
        </w:rPr>
      </w:pPr>
      <w:r>
        <w:rPr>
          <w:rFonts w:eastAsia="Times New Roman"/>
          <w:b/>
          <w:bCs/>
          <w:i/>
          <w:iCs/>
          <w:color w:val="366092"/>
        </w:rPr>
        <w:t>Wskaźniki typu output</w:t>
      </w:r>
    </w:p>
    <w:p w:rsidR="00424449" w:rsidRDefault="00424449" w:rsidP="009348FF">
      <w:pPr>
        <w:rPr>
          <w:rFonts w:eastAsia="Calibri"/>
        </w:rPr>
      </w:pPr>
      <w:r>
        <w:t xml:space="preserve">Wskaźniki typu output (produktu) w większości przypadków zostały dobrze dopasowane do logiki interwencji, a ich liczba jest adekwatna. </w:t>
      </w:r>
    </w:p>
    <w:p w:rsidR="00424449" w:rsidRDefault="00424449" w:rsidP="002B502A">
      <w:pPr>
        <w:pStyle w:val="Legenda"/>
      </w:pPr>
      <w:r>
        <w:t xml:space="preserve">Tabela </w:t>
      </w:r>
      <w:r w:rsidR="001B04AC">
        <w:fldChar w:fldCharType="begin"/>
      </w:r>
      <w:r w:rsidR="008E1D74">
        <w:instrText xml:space="preserve"> SEQ Tabela \* ARABIC </w:instrText>
      </w:r>
      <w:r w:rsidR="001B04AC">
        <w:fldChar w:fldCharType="separate"/>
      </w:r>
      <w:r w:rsidR="00832320">
        <w:rPr>
          <w:noProof/>
        </w:rPr>
        <w:t>26</w:t>
      </w:r>
      <w:r w:rsidR="001B04AC">
        <w:rPr>
          <w:noProof/>
        </w:rPr>
        <w:fldChar w:fldCharType="end"/>
      </w:r>
      <w:r>
        <w:t>. Oś priorytetowa VII – ocena wskaźników typu output</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903"/>
        <w:gridCol w:w="4773"/>
        <w:gridCol w:w="3610"/>
      </w:tblGrid>
      <w:tr w:rsidR="00424449" w:rsidRPr="00AC6F5A" w:rsidTr="009B2DD9">
        <w:trPr>
          <w:tblHeader/>
        </w:trPr>
        <w:tc>
          <w:tcPr>
            <w:tcW w:w="90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Pr="00AC6F5A" w:rsidRDefault="00424449" w:rsidP="009B2DD9">
            <w:pPr>
              <w:spacing w:before="120" w:after="120"/>
              <w:jc w:val="center"/>
              <w:rPr>
                <w:rFonts w:eastAsia="Calibri" w:cstheme="minorHAnsi"/>
                <w:b/>
                <w:color w:val="FFFFFF" w:themeColor="background1"/>
                <w:sz w:val="20"/>
                <w:szCs w:val="20"/>
              </w:rPr>
            </w:pPr>
          </w:p>
        </w:tc>
        <w:tc>
          <w:tcPr>
            <w:tcW w:w="4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9B2DD9">
            <w:pPr>
              <w:spacing w:before="120" w:after="120"/>
              <w:jc w:val="center"/>
              <w:rPr>
                <w:rFonts w:eastAsia="Calibri" w:cstheme="minorHAnsi"/>
                <w:b/>
                <w:color w:val="FFFFFF" w:themeColor="background1"/>
                <w:sz w:val="20"/>
                <w:szCs w:val="20"/>
              </w:rPr>
            </w:pPr>
            <w:r w:rsidRPr="00AC6F5A">
              <w:rPr>
                <w:rFonts w:cstheme="minorHAnsi"/>
                <w:b/>
                <w:color w:val="FFFFFF" w:themeColor="background1"/>
                <w:sz w:val="20"/>
                <w:szCs w:val="20"/>
              </w:rPr>
              <w:t>wskaźnik</w:t>
            </w:r>
          </w:p>
        </w:tc>
        <w:tc>
          <w:tcPr>
            <w:tcW w:w="361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9B2DD9">
            <w:pPr>
              <w:spacing w:before="120" w:after="120"/>
              <w:jc w:val="center"/>
              <w:rPr>
                <w:rFonts w:eastAsia="Calibri" w:cstheme="minorHAnsi"/>
                <w:b/>
                <w:color w:val="FFFFFF" w:themeColor="background1"/>
                <w:sz w:val="20"/>
                <w:szCs w:val="20"/>
              </w:rPr>
            </w:pPr>
            <w:r w:rsidRPr="00AC6F5A">
              <w:rPr>
                <w:rFonts w:cstheme="minorHAnsi"/>
                <w:b/>
                <w:color w:val="FFFFFF" w:themeColor="background1"/>
                <w:sz w:val="20"/>
                <w:szCs w:val="20"/>
              </w:rPr>
              <w:t>ocena doboru wskaźnika</w:t>
            </w:r>
          </w:p>
        </w:tc>
      </w:tr>
      <w:tr w:rsidR="00424449" w:rsidRPr="00AC6F5A" w:rsidTr="009B2DD9">
        <w:trPr>
          <w:trHeight w:val="361"/>
        </w:trPr>
        <w:tc>
          <w:tcPr>
            <w:tcW w:w="90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spacing w:before="120" w:after="120"/>
              <w:jc w:val="center"/>
              <w:rPr>
                <w:rFonts w:eastAsia="Calibri" w:cstheme="minorHAnsi"/>
                <w:b/>
                <w:sz w:val="20"/>
                <w:szCs w:val="20"/>
              </w:rPr>
            </w:pPr>
            <w:r w:rsidRPr="00AC6F5A">
              <w:rPr>
                <w:rFonts w:cstheme="minorHAnsi"/>
                <w:b/>
                <w:sz w:val="20"/>
                <w:szCs w:val="20"/>
              </w:rPr>
              <w:t>8.5</w:t>
            </w:r>
          </w:p>
        </w:tc>
        <w:tc>
          <w:tcPr>
            <w:tcW w:w="4773"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Liczba osób bezrobotnych (łącznie z długotrwale bezrobotnymi) objętych wsparciem w programie</w:t>
            </w:r>
          </w:p>
        </w:tc>
        <w:tc>
          <w:tcPr>
            <w:tcW w:w="3610"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r w:rsidR="00424449" w:rsidRPr="00AC6F5A" w:rsidTr="009B2DD9">
        <w:trPr>
          <w:trHeight w:val="297"/>
        </w:trPr>
        <w:tc>
          <w:tcPr>
            <w:tcW w:w="90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spacing w:before="120" w:after="120"/>
              <w:jc w:val="center"/>
              <w:rPr>
                <w:rFonts w:eastAsia="Calibri" w:cstheme="minorHAnsi"/>
                <w:b/>
                <w:sz w:val="20"/>
                <w:szCs w:val="20"/>
              </w:rPr>
            </w:pPr>
            <w:r w:rsidRPr="00AC6F5A">
              <w:rPr>
                <w:rFonts w:cstheme="minorHAnsi"/>
                <w:b/>
                <w:sz w:val="20"/>
                <w:szCs w:val="20"/>
              </w:rPr>
              <w:t>8.7</w:t>
            </w:r>
          </w:p>
        </w:tc>
        <w:tc>
          <w:tcPr>
            <w:tcW w:w="4773"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Liczba osób, które otrzymały środki na podjęcie działalności gospodarczej w programie</w:t>
            </w:r>
          </w:p>
        </w:tc>
        <w:tc>
          <w:tcPr>
            <w:tcW w:w="3610"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r w:rsidR="00424449" w:rsidRPr="00AC6F5A" w:rsidTr="009B2DD9">
        <w:trPr>
          <w:trHeight w:val="219"/>
        </w:trPr>
        <w:tc>
          <w:tcPr>
            <w:tcW w:w="90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spacing w:before="120" w:after="120"/>
              <w:jc w:val="center"/>
              <w:rPr>
                <w:rFonts w:eastAsia="Calibri" w:cstheme="minorHAnsi"/>
                <w:b/>
                <w:sz w:val="20"/>
                <w:szCs w:val="20"/>
              </w:rPr>
            </w:pPr>
            <w:r w:rsidRPr="00AC6F5A">
              <w:rPr>
                <w:rFonts w:cstheme="minorHAnsi"/>
                <w:b/>
                <w:sz w:val="20"/>
                <w:szCs w:val="20"/>
              </w:rPr>
              <w:t>8.8</w:t>
            </w:r>
          </w:p>
        </w:tc>
        <w:tc>
          <w:tcPr>
            <w:tcW w:w="4773"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Liczba utworzonych miejsc opieki nad dziećmi do lat trzech</w:t>
            </w:r>
          </w:p>
        </w:tc>
        <w:tc>
          <w:tcPr>
            <w:tcW w:w="3610"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r w:rsidR="00424449" w:rsidRPr="00AC6F5A" w:rsidTr="009B2DD9">
        <w:tc>
          <w:tcPr>
            <w:tcW w:w="903"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spacing w:before="120" w:after="120"/>
              <w:jc w:val="center"/>
              <w:rPr>
                <w:rFonts w:eastAsia="Calibri" w:cstheme="minorHAnsi"/>
                <w:b/>
                <w:sz w:val="20"/>
                <w:szCs w:val="20"/>
              </w:rPr>
            </w:pPr>
            <w:r w:rsidRPr="00AC6F5A">
              <w:rPr>
                <w:rFonts w:cstheme="minorHAnsi"/>
                <w:b/>
                <w:sz w:val="20"/>
                <w:szCs w:val="20"/>
              </w:rPr>
              <w:t>8.9</w:t>
            </w:r>
          </w:p>
        </w:tc>
        <w:tc>
          <w:tcPr>
            <w:tcW w:w="477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Liczba mikroprzedsiębiorstw oraz małych i średnich przedsiębiorstw objętych wsparciem w programie ( w tym przedsiębiorstw spółdzielczych i przedsiębiorstw gospodarki społecznej)</w:t>
            </w:r>
          </w:p>
        </w:tc>
        <w:tc>
          <w:tcPr>
            <w:tcW w:w="361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r w:rsidR="00424449" w:rsidRPr="00AC6F5A" w:rsidTr="009B2DD9">
        <w:trPr>
          <w:trHeight w:val="746"/>
        </w:trPr>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b/>
                <w:sz w:val="20"/>
                <w:szCs w:val="20"/>
              </w:rPr>
            </w:pPr>
          </w:p>
        </w:tc>
        <w:tc>
          <w:tcPr>
            <w:tcW w:w="4773"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 xml:space="preserve">Liczba pracowników zagrożonych zwolnieniem z pracy oraz osób zwolnionych z przyczyn dotyczących zakładu pracy objętych wsparciem w </w:t>
            </w:r>
            <w:r w:rsidRPr="00490418">
              <w:rPr>
                <w:rFonts w:asciiTheme="minorHAnsi" w:eastAsia="Calibri" w:hAnsiTheme="minorHAnsi" w:cstheme="minorHAnsi"/>
                <w:sz w:val="20"/>
                <w:szCs w:val="20"/>
              </w:rPr>
              <w:t>programie</w:t>
            </w:r>
            <w:r w:rsidRPr="00AC6F5A">
              <w:rPr>
                <w:rFonts w:asciiTheme="minorHAnsi" w:eastAsia="Calibri" w:hAnsiTheme="minorHAnsi" w:cstheme="minorHAnsi"/>
                <w:sz w:val="20"/>
                <w:szCs w:val="20"/>
              </w:rPr>
              <w:t>.</w:t>
            </w:r>
          </w:p>
        </w:tc>
        <w:tc>
          <w:tcPr>
            <w:tcW w:w="3610"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r w:rsidR="00424449" w:rsidRPr="00AC6F5A" w:rsidTr="009B2DD9">
        <w:trPr>
          <w:trHeight w:val="545"/>
        </w:trPr>
        <w:tc>
          <w:tcPr>
            <w:tcW w:w="90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9B2DD9">
            <w:pPr>
              <w:spacing w:before="120" w:after="120"/>
              <w:jc w:val="center"/>
              <w:rPr>
                <w:rFonts w:eastAsia="Calibri" w:cstheme="minorHAnsi"/>
                <w:b/>
                <w:sz w:val="20"/>
                <w:szCs w:val="20"/>
              </w:rPr>
            </w:pPr>
            <w:r w:rsidRPr="00AC6F5A">
              <w:rPr>
                <w:rFonts w:cstheme="minorHAnsi"/>
                <w:b/>
                <w:sz w:val="20"/>
                <w:szCs w:val="20"/>
              </w:rPr>
              <w:t>8.10</w:t>
            </w:r>
          </w:p>
        </w:tc>
        <w:tc>
          <w:tcPr>
            <w:tcW w:w="4773" w:type="dxa"/>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C6F5A" w:rsidRDefault="00424449" w:rsidP="009B2DD9">
            <w:pPr>
              <w:pStyle w:val="NormalnyWeb"/>
              <w:spacing w:before="120" w:beforeAutospacing="0" w:after="120" w:afterAutospacing="0"/>
              <w:jc w:val="center"/>
              <w:rPr>
                <w:rFonts w:asciiTheme="minorHAnsi" w:eastAsia="Calibri" w:hAnsiTheme="minorHAnsi" w:cstheme="minorHAnsi"/>
                <w:sz w:val="20"/>
                <w:szCs w:val="20"/>
              </w:rPr>
            </w:pPr>
            <w:r w:rsidRPr="00AC6F5A">
              <w:rPr>
                <w:rFonts w:asciiTheme="minorHAnsi" w:eastAsia="Calibri" w:hAnsiTheme="minorHAnsi" w:cstheme="minorHAnsi"/>
                <w:sz w:val="20"/>
                <w:szCs w:val="20"/>
              </w:rPr>
              <w:t>Liczba osób objętych wsparciem w ramach programów zdrowotnych współfinansowanych z EFS</w:t>
            </w:r>
          </w:p>
        </w:tc>
        <w:tc>
          <w:tcPr>
            <w:tcW w:w="3610" w:type="dxa"/>
            <w:tcBorders>
              <w:top w:val="single" w:sz="4" w:space="0" w:color="808080" w:themeColor="background1" w:themeShade="80"/>
              <w:left w:val="single" w:sz="4" w:space="0" w:color="808080" w:themeColor="background1" w:themeShade="80"/>
              <w:right w:val="single" w:sz="4" w:space="0" w:color="808080" w:themeColor="background1" w:themeShade="80"/>
            </w:tcBorders>
            <w:vAlign w:val="center"/>
            <w:hideMark/>
          </w:tcPr>
          <w:p w:rsidR="00424449" w:rsidRPr="00AC6F5A" w:rsidRDefault="00424449" w:rsidP="009B2DD9">
            <w:pPr>
              <w:spacing w:before="120" w:after="120"/>
              <w:jc w:val="center"/>
              <w:rPr>
                <w:rFonts w:eastAsia="Calibri" w:cstheme="minorHAnsi"/>
                <w:sz w:val="20"/>
                <w:szCs w:val="20"/>
              </w:rPr>
            </w:pPr>
            <w:r w:rsidRPr="00AC6F5A">
              <w:rPr>
                <w:rFonts w:cstheme="minorHAnsi"/>
                <w:sz w:val="20"/>
                <w:szCs w:val="20"/>
              </w:rPr>
              <w:t>Brak uwag</w:t>
            </w:r>
          </w:p>
        </w:tc>
      </w:tr>
    </w:tbl>
    <w:p w:rsidR="00424449" w:rsidRDefault="00424449" w:rsidP="009348FF">
      <w:pPr>
        <w:ind w:left="360"/>
        <w:jc w:val="center"/>
        <w:rPr>
          <w:rFonts w:eastAsia="Calibri"/>
          <w:i/>
          <w:sz w:val="20"/>
        </w:rPr>
      </w:pPr>
      <w:r>
        <w:rPr>
          <w:i/>
          <w:sz w:val="20"/>
        </w:rPr>
        <w:t>Źródło: Opracowanie własne</w:t>
      </w:r>
    </w:p>
    <w:p w:rsidR="00424449" w:rsidRDefault="00424449" w:rsidP="009348FF">
      <w:pPr>
        <w:keepNext/>
        <w:keepLines/>
        <w:spacing w:before="200" w:after="0"/>
        <w:outlineLvl w:val="3"/>
        <w:rPr>
          <w:rFonts w:eastAsia="Times New Roman"/>
          <w:b/>
          <w:bCs/>
          <w:i/>
          <w:iCs/>
          <w:color w:val="366092"/>
        </w:rPr>
      </w:pPr>
      <w:r>
        <w:rPr>
          <w:rFonts w:eastAsia="Times New Roman"/>
          <w:b/>
          <w:bCs/>
          <w:i/>
          <w:iCs/>
          <w:color w:val="366092"/>
        </w:rPr>
        <w:t>Wskaźniki wybrane do ram wykonania</w:t>
      </w:r>
    </w:p>
    <w:p w:rsidR="00424449" w:rsidRDefault="00424449" w:rsidP="009348FF">
      <w:pPr>
        <w:rPr>
          <w:rFonts w:eastAsia="Calibri"/>
        </w:rPr>
      </w:pPr>
      <w:r>
        <w:t xml:space="preserve">W osi VII wybrano trzy wskaźniki do ram wykonania: jeden wskaźnik postępu finansowego i dwa wskaźniki produktu z PI o największej alokacji. Wybór taki jest uzasadniony. </w:t>
      </w:r>
    </w:p>
    <w:p w:rsidR="00424449" w:rsidRDefault="00424449" w:rsidP="002B502A">
      <w:pPr>
        <w:pStyle w:val="Legenda"/>
      </w:pPr>
      <w:r>
        <w:t xml:space="preserve">Tabela </w:t>
      </w:r>
      <w:r w:rsidR="001B04AC">
        <w:fldChar w:fldCharType="begin"/>
      </w:r>
      <w:r w:rsidR="008E1D74">
        <w:instrText xml:space="preserve"> SEQ Tabela \* ARABIC </w:instrText>
      </w:r>
      <w:r w:rsidR="001B04AC">
        <w:fldChar w:fldCharType="separate"/>
      </w:r>
      <w:r w:rsidR="00832320">
        <w:rPr>
          <w:noProof/>
        </w:rPr>
        <w:t>27</w:t>
      </w:r>
      <w:r w:rsidR="001B04AC">
        <w:rPr>
          <w:noProof/>
        </w:rPr>
        <w:fldChar w:fldCharType="end"/>
      </w:r>
      <w:r>
        <w:t>. Oś priorytetowa VI</w:t>
      </w:r>
      <w:r w:rsidR="00B05F42">
        <w:t>I</w:t>
      </w:r>
      <w:r>
        <w:t xml:space="preserve"> – propozycja wskaźników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3509"/>
        <w:gridCol w:w="1560"/>
        <w:gridCol w:w="4217"/>
      </w:tblGrid>
      <w:tr w:rsidR="00424449" w:rsidRPr="00AC6F5A" w:rsidTr="002B502A">
        <w:tc>
          <w:tcPr>
            <w:tcW w:w="35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40" w:after="40"/>
              <w:jc w:val="center"/>
              <w:rPr>
                <w:rFonts w:eastAsia="Calibri" w:cstheme="minorHAnsi"/>
                <w:b/>
                <w:color w:val="FFFFFF" w:themeColor="background1"/>
                <w:sz w:val="20"/>
                <w:szCs w:val="20"/>
              </w:rPr>
            </w:pPr>
            <w:r w:rsidRPr="00AC6F5A">
              <w:rPr>
                <w:rFonts w:cstheme="minorHAnsi"/>
                <w:b/>
                <w:color w:val="FFFFFF" w:themeColor="background1"/>
                <w:sz w:val="20"/>
                <w:szCs w:val="20"/>
              </w:rPr>
              <w:t>wskaźnik</w:t>
            </w:r>
          </w:p>
        </w:tc>
        <w:tc>
          <w:tcPr>
            <w:tcW w:w="15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40" w:after="40"/>
              <w:jc w:val="center"/>
              <w:rPr>
                <w:rFonts w:eastAsia="Calibri" w:cstheme="minorHAnsi"/>
                <w:b/>
                <w:color w:val="FFFFFF" w:themeColor="background1"/>
                <w:sz w:val="20"/>
                <w:szCs w:val="20"/>
              </w:rPr>
            </w:pPr>
            <w:r w:rsidRPr="00AC6F5A">
              <w:rPr>
                <w:rFonts w:cstheme="minorHAnsi"/>
                <w:b/>
                <w:color w:val="FFFFFF" w:themeColor="background1"/>
                <w:sz w:val="20"/>
                <w:szCs w:val="20"/>
              </w:rPr>
              <w:t>jednostka wskaźnika</w:t>
            </w:r>
          </w:p>
        </w:tc>
        <w:tc>
          <w:tcPr>
            <w:tcW w:w="42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AC6F5A" w:rsidRDefault="00424449" w:rsidP="002B502A">
            <w:pPr>
              <w:spacing w:before="40" w:after="40"/>
              <w:jc w:val="center"/>
              <w:rPr>
                <w:rFonts w:eastAsia="Calibri" w:cstheme="minorHAnsi"/>
                <w:b/>
                <w:color w:val="FFFFFF" w:themeColor="background1"/>
                <w:sz w:val="20"/>
                <w:szCs w:val="20"/>
              </w:rPr>
            </w:pPr>
            <w:r w:rsidRPr="00AC6F5A">
              <w:rPr>
                <w:rFonts w:cstheme="minorHAnsi"/>
                <w:b/>
                <w:color w:val="FFFFFF" w:themeColor="background1"/>
                <w:sz w:val="20"/>
                <w:szCs w:val="20"/>
              </w:rPr>
              <w:t>uzasadnienie</w:t>
            </w:r>
          </w:p>
        </w:tc>
      </w:tr>
      <w:tr w:rsidR="00424449" w:rsidRPr="00AC6F5A" w:rsidTr="002B502A">
        <w:tc>
          <w:tcPr>
            <w:tcW w:w="35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spacing w:before="40" w:after="40"/>
              <w:jc w:val="center"/>
              <w:rPr>
                <w:rFonts w:eastAsia="Calibri" w:cstheme="minorHAnsi"/>
                <w:sz w:val="20"/>
                <w:szCs w:val="20"/>
              </w:rPr>
            </w:pPr>
            <w:r w:rsidRPr="00AC6F5A">
              <w:rPr>
                <w:rFonts w:cstheme="minorHAnsi"/>
                <w:sz w:val="20"/>
                <w:szCs w:val="20"/>
              </w:rPr>
              <w:t>Całkowita kwota wydatków kwalifikowalnych</w:t>
            </w:r>
          </w:p>
        </w:tc>
        <w:tc>
          <w:tcPr>
            <w:tcW w:w="15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2B502A">
            <w:pPr>
              <w:spacing w:before="40" w:after="40"/>
              <w:jc w:val="center"/>
              <w:rPr>
                <w:rFonts w:eastAsia="Calibri" w:cstheme="minorHAnsi"/>
                <w:sz w:val="20"/>
                <w:szCs w:val="20"/>
              </w:rPr>
            </w:pPr>
            <w:r w:rsidRPr="00AC6F5A">
              <w:rPr>
                <w:rFonts w:cstheme="minorHAnsi"/>
                <w:sz w:val="20"/>
                <w:szCs w:val="20"/>
              </w:rPr>
              <w:t>%</w:t>
            </w:r>
          </w:p>
        </w:tc>
        <w:tc>
          <w:tcPr>
            <w:tcW w:w="42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2B502A">
            <w:pPr>
              <w:spacing w:before="40" w:after="40"/>
              <w:jc w:val="center"/>
              <w:rPr>
                <w:rFonts w:eastAsia="Calibri" w:cstheme="minorHAnsi"/>
                <w:sz w:val="20"/>
                <w:szCs w:val="20"/>
                <w:highlight w:val="red"/>
              </w:rPr>
            </w:pPr>
            <w:r w:rsidRPr="00AC6F5A">
              <w:rPr>
                <w:rFonts w:cstheme="minorHAnsi"/>
                <w:sz w:val="20"/>
                <w:szCs w:val="20"/>
              </w:rPr>
              <w:t>Adekwatny wskaźnik postępu finansowego</w:t>
            </w:r>
          </w:p>
        </w:tc>
      </w:tr>
      <w:tr w:rsidR="00424449" w:rsidRPr="00AC6F5A" w:rsidTr="002B502A">
        <w:tc>
          <w:tcPr>
            <w:tcW w:w="35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spacing w:before="40" w:after="40"/>
              <w:jc w:val="center"/>
              <w:rPr>
                <w:rFonts w:eastAsia="Calibri" w:cstheme="minorHAnsi"/>
                <w:i/>
                <w:color w:val="282828"/>
                <w:sz w:val="20"/>
                <w:szCs w:val="20"/>
                <w:highlight w:val="red"/>
              </w:rPr>
            </w:pPr>
            <w:r w:rsidRPr="00AC6F5A">
              <w:rPr>
                <w:rFonts w:cstheme="minorHAnsi"/>
                <w:sz w:val="20"/>
                <w:szCs w:val="20"/>
              </w:rPr>
              <w:t>Liczba osób, które otrzymały środki na podjęcie działalności gospodarczej w programie</w:t>
            </w:r>
          </w:p>
        </w:tc>
        <w:tc>
          <w:tcPr>
            <w:tcW w:w="15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2B502A">
            <w:pPr>
              <w:spacing w:before="40" w:after="40"/>
              <w:jc w:val="center"/>
              <w:rPr>
                <w:rFonts w:eastAsia="Calibri" w:cstheme="minorHAnsi"/>
                <w:sz w:val="20"/>
                <w:szCs w:val="20"/>
              </w:rPr>
            </w:pPr>
            <w:r w:rsidRPr="00AC6F5A">
              <w:rPr>
                <w:rFonts w:cstheme="minorHAnsi"/>
                <w:sz w:val="20"/>
                <w:szCs w:val="20"/>
              </w:rPr>
              <w:t>[n]</w:t>
            </w:r>
          </w:p>
        </w:tc>
        <w:tc>
          <w:tcPr>
            <w:tcW w:w="42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40" w:after="40"/>
              <w:jc w:val="center"/>
              <w:rPr>
                <w:rFonts w:eastAsia="Calibri" w:cstheme="minorHAnsi"/>
                <w:sz w:val="20"/>
                <w:szCs w:val="20"/>
                <w:highlight w:val="red"/>
              </w:rPr>
            </w:pPr>
            <w:r w:rsidRPr="00AC6F5A">
              <w:rPr>
                <w:rFonts w:cstheme="minorHAnsi"/>
                <w:sz w:val="20"/>
                <w:szCs w:val="20"/>
              </w:rPr>
              <w:t>Kluczowy wskaźnik produktu z PI o największej alokacji (8.7)</w:t>
            </w:r>
          </w:p>
        </w:tc>
      </w:tr>
      <w:tr w:rsidR="00424449" w:rsidRPr="00AC6F5A" w:rsidTr="002B502A">
        <w:tc>
          <w:tcPr>
            <w:tcW w:w="35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C6F5A" w:rsidRDefault="00424449" w:rsidP="002B502A">
            <w:pPr>
              <w:spacing w:before="40" w:after="40"/>
              <w:jc w:val="center"/>
              <w:rPr>
                <w:rFonts w:eastAsia="Calibri" w:cstheme="minorHAnsi"/>
                <w:i/>
                <w:color w:val="282828"/>
                <w:sz w:val="20"/>
                <w:szCs w:val="20"/>
                <w:highlight w:val="red"/>
              </w:rPr>
            </w:pPr>
            <w:r w:rsidRPr="00AC6F5A">
              <w:rPr>
                <w:rFonts w:cstheme="minorHAnsi"/>
                <w:sz w:val="20"/>
                <w:szCs w:val="20"/>
              </w:rPr>
              <w:t>Liczba osób bezrobotnych (łącznie z długotrwale bezrobotnymi) objętych wsparciem w programie</w:t>
            </w:r>
          </w:p>
        </w:tc>
        <w:tc>
          <w:tcPr>
            <w:tcW w:w="15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C6F5A" w:rsidRDefault="00424449" w:rsidP="002B502A">
            <w:pPr>
              <w:spacing w:before="40" w:after="40"/>
              <w:jc w:val="center"/>
              <w:rPr>
                <w:rFonts w:eastAsia="Calibri" w:cstheme="minorHAnsi"/>
                <w:sz w:val="20"/>
                <w:szCs w:val="20"/>
              </w:rPr>
            </w:pPr>
            <w:r w:rsidRPr="00AC6F5A">
              <w:rPr>
                <w:rFonts w:cstheme="minorHAnsi"/>
                <w:sz w:val="20"/>
                <w:szCs w:val="20"/>
              </w:rPr>
              <w:t>[n]</w:t>
            </w:r>
          </w:p>
        </w:tc>
        <w:tc>
          <w:tcPr>
            <w:tcW w:w="42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AC6F5A" w:rsidRDefault="00424449" w:rsidP="002B502A">
            <w:pPr>
              <w:spacing w:before="40" w:after="40"/>
              <w:jc w:val="center"/>
              <w:rPr>
                <w:rFonts w:eastAsia="Calibri" w:cstheme="minorHAnsi"/>
                <w:sz w:val="20"/>
                <w:szCs w:val="20"/>
                <w:highlight w:val="red"/>
              </w:rPr>
            </w:pPr>
            <w:r w:rsidRPr="00AC6F5A">
              <w:rPr>
                <w:rFonts w:cstheme="minorHAnsi"/>
                <w:sz w:val="20"/>
                <w:szCs w:val="20"/>
              </w:rPr>
              <w:t>Kluczowy wskaźnik produktu z PI o największej alokacji (8.5)</w:t>
            </w:r>
          </w:p>
        </w:tc>
      </w:tr>
    </w:tbl>
    <w:p w:rsidR="00424449" w:rsidRDefault="00424449" w:rsidP="009348FF">
      <w:pPr>
        <w:ind w:left="360"/>
        <w:jc w:val="center"/>
        <w:rPr>
          <w:i/>
          <w:sz w:val="20"/>
        </w:rPr>
      </w:pPr>
      <w:r>
        <w:rPr>
          <w:i/>
          <w:sz w:val="20"/>
        </w:rPr>
        <w:t>Źródło: Opracowanie własne</w:t>
      </w:r>
    </w:p>
    <w:p w:rsidR="00424449" w:rsidRDefault="00424449" w:rsidP="009348FF">
      <w:pPr>
        <w:pStyle w:val="Nagwek3"/>
        <w:rPr>
          <w:rFonts w:asciiTheme="minorHAnsi" w:hAnsiTheme="minorHAnsi"/>
        </w:rPr>
      </w:pPr>
      <w:r>
        <w:rPr>
          <w:rFonts w:asciiTheme="minorHAnsi" w:hAnsiTheme="minorHAnsi"/>
        </w:rPr>
        <w:lastRenderedPageBreak/>
        <w:t>Wkład w realizację celów dokumentów strategicznych i celów polityk horyzontalnych</w:t>
      </w:r>
    </w:p>
    <w:p w:rsidR="00424449" w:rsidRDefault="00424449" w:rsidP="009348FF">
      <w:pPr>
        <w:pStyle w:val="Nagwek4"/>
        <w:rPr>
          <w:rFonts w:asciiTheme="minorHAnsi" w:hAnsiTheme="minorHAnsi"/>
        </w:rPr>
      </w:pPr>
      <w:r>
        <w:rPr>
          <w:rFonts w:asciiTheme="minorHAnsi" w:hAnsiTheme="minorHAnsi"/>
        </w:rPr>
        <w:t>Cele strategiczne na poziomie europejskim i polityki horyzontalne</w:t>
      </w:r>
    </w:p>
    <w:p w:rsidR="00424449" w:rsidRDefault="00424449" w:rsidP="009348FF">
      <w:pPr>
        <w:spacing w:after="120"/>
        <w:rPr>
          <w:rFonts w:ascii="Calibri" w:hAnsi="Calibri"/>
        </w:rPr>
      </w:pPr>
      <w:r>
        <w:t xml:space="preserve">Jednym z celów strategii </w:t>
      </w:r>
      <w:r>
        <w:rPr>
          <w:i/>
        </w:rPr>
        <w:t>Europa 2020</w:t>
      </w:r>
      <w:r>
        <w:t xml:space="preserve"> jest zwiększenie wskaźnika zatrudnienia osób w przedziale wiekowym 20-64. Do realizacji tego celu powołano </w:t>
      </w:r>
      <w:r>
        <w:rPr>
          <w:i/>
        </w:rPr>
        <w:t>Program na rzecz nowych umiejętności i</w:t>
      </w:r>
      <w:r w:rsidR="002F7C58">
        <w:rPr>
          <w:i/>
        </w:rPr>
        <w:t> </w:t>
      </w:r>
      <w:r>
        <w:rPr>
          <w:i/>
        </w:rPr>
        <w:t xml:space="preserve"> zatrudnienia</w:t>
      </w:r>
      <w:r>
        <w:t xml:space="preserve">. Choć nie określono jednego celu szczegółowego dla osi VII </w:t>
      </w:r>
      <w:r w:rsidRPr="00C9387C">
        <w:t>RPO WP 2014-2020</w:t>
      </w:r>
      <w:r>
        <w:t>, na poziomie celów szczegółowych PI program adresuje kwestie związane z zatrudnieniem. Jest to odpowiedź na najważniejsze wyzwania województwa podkarpackiego, czyli niski poziom zatrudnienia (szczególnie w wybranych grupach) oraz występowanie barier dla podejmowania zatrudnienia (m.in. związanych z dostępnością usług opiekuńczych).</w:t>
      </w:r>
    </w:p>
    <w:p w:rsidR="00424449" w:rsidRDefault="00424449" w:rsidP="009348FF">
      <w:pPr>
        <w:spacing w:after="120"/>
      </w:pPr>
      <w:r>
        <w:t xml:space="preserve">Interwencja w ramach osi VII przyczyni się do osiągnięcia celów strategii </w:t>
      </w:r>
      <w:r>
        <w:rPr>
          <w:i/>
        </w:rPr>
        <w:t>Europa 2020</w:t>
      </w:r>
      <w:r>
        <w:t>. Kluczowe znaczenie mają tutaj działania podejmowane przez instytucje rynku pracy wspierające osoby bezrobotne (w ramach PI 8.5), wzmacnianie przedsiębiorczości (w ramach PI 8.7) i poprawa dostępu do usług opiekuńczych (PI 8.8), nacisk na poprawę adaptacyjności osób aktywnych zawodowo i</w:t>
      </w:r>
      <w:r w:rsidR="002F7C58">
        <w:t> </w:t>
      </w:r>
      <w:r>
        <w:t xml:space="preserve"> przedsiębiorstw (PI 8.9). </w:t>
      </w:r>
    </w:p>
    <w:p w:rsidR="00424449" w:rsidRDefault="00424449" w:rsidP="009348FF">
      <w:pPr>
        <w:spacing w:after="120"/>
      </w:pPr>
      <w:r>
        <w:t xml:space="preserve">Jednym z kluczowych wyzwań stojących przed Polską jest zwiększenie udziału w kształceniu ustawicznym, co zostało również podkreślone w </w:t>
      </w:r>
      <w:r>
        <w:rPr>
          <w:i/>
        </w:rPr>
        <w:t>Coutry Specific Recomendations.</w:t>
      </w:r>
      <w:r>
        <w:t xml:space="preserve"> Zaproponowane w</w:t>
      </w:r>
      <w:r w:rsidR="002F7C58">
        <w:t> </w:t>
      </w:r>
      <w:r>
        <w:t xml:space="preserve"> </w:t>
      </w:r>
      <w:r w:rsidRPr="00C9387C">
        <w:t>RPO WP 2014-2020</w:t>
      </w:r>
      <w:r>
        <w:t xml:space="preserve"> rozwiązania mogą przełożyć się na odczuwalną poprawę w tym obszarze, o ile interwencja zostanie skierowana do grup o ograniczonym dostępie do kształcenia w miejscu pracy (np. do osób starszych i o niskich kwalifikacjach). Rekomendacje w tym zakresie znalazły się w</w:t>
      </w:r>
      <w:r w:rsidR="002F7C58">
        <w:t> </w:t>
      </w:r>
      <w:r>
        <w:t xml:space="preserve"> zapisach odnośnie modyfikacji interwencji w ramach PI 8.9.</w:t>
      </w:r>
    </w:p>
    <w:p w:rsidR="00424449" w:rsidRDefault="00424449" w:rsidP="009348FF">
      <w:pPr>
        <w:spacing w:after="120"/>
      </w:pPr>
      <w:r>
        <w:t>Interwencja w zakresie aktywnego starzenia się (PI 8.10) koncentruje się na kwestii zdrowia. Autorzy programu dostrzegają potencjał tkwiący w starszych pracownikach (zatrzymanie ich wiedzy i</w:t>
      </w:r>
      <w:r w:rsidR="002F7C58">
        <w:t> </w:t>
      </w:r>
      <w:r>
        <w:t xml:space="preserve"> doświadczenia), wyróżniają tę grupę jako odbiorców wsparcia w różnych priorytetach inwestycyjnych. Jednak trudno jednoznacznie ocenić, czy realizacja wsparcia w osi VII (a szczególnie w ramach PI 8.10) przyczyni się do efektywnego wsparcia w obszarze aktywnego starzenia się. </w:t>
      </w:r>
    </w:p>
    <w:p w:rsidR="00424449" w:rsidRDefault="00424449" w:rsidP="009348FF">
      <w:pPr>
        <w:spacing w:after="120"/>
      </w:pPr>
      <w:r>
        <w:t>Program w zakresie osi VII jest spójny z zasadami polityk horyzontalnych. Przewidziano oddzielny priorytet związany z równouprawnieniem płci (PI 8.8). W zapisach pozostałych PI nie zidentyfikowano działań stojących w sprzeczności z zasadami polityk horyzontalnych UE.</w:t>
      </w:r>
    </w:p>
    <w:p w:rsidR="00424449" w:rsidRDefault="00424449" w:rsidP="009348FF">
      <w:pPr>
        <w:pStyle w:val="Nagwek4"/>
        <w:rPr>
          <w:rFonts w:asciiTheme="minorHAnsi" w:hAnsiTheme="minorHAnsi"/>
        </w:rPr>
      </w:pPr>
      <w:r>
        <w:rPr>
          <w:rFonts w:asciiTheme="minorHAnsi" w:hAnsiTheme="minorHAnsi"/>
        </w:rPr>
        <w:t>Cele strategiczne na poziomie krajowym</w:t>
      </w:r>
    </w:p>
    <w:p w:rsidR="00424449" w:rsidRDefault="00424449" w:rsidP="009348FF">
      <w:r>
        <w:t>W Strategii rozwoju Kraju do 2020 r. określono priorytetowe kierunki interwencji publicznej, a wśród nich zwiększanie aktywności zawodowej, w tym pobudzanie aktywności zawodowej poprzez tworzenie rozwiązań umożliwiających i ułatwiających godzenie życia zawodowego i rodzinnego. Zapisy te znajdują swoje odzwierciedlenie w Strategii Rozwoju Kapitału Ludzkiego.</w:t>
      </w:r>
    </w:p>
    <w:p w:rsidR="00424449" w:rsidRDefault="00424449" w:rsidP="009348FF">
      <w:pPr>
        <w:pStyle w:val="Nagwek4"/>
        <w:rPr>
          <w:rFonts w:asciiTheme="minorHAnsi" w:hAnsiTheme="minorHAnsi"/>
        </w:rPr>
      </w:pPr>
      <w:r>
        <w:rPr>
          <w:rFonts w:asciiTheme="minorHAnsi" w:hAnsiTheme="minorHAnsi"/>
        </w:rPr>
        <w:t>Cele strategiczne województwa podkarpackiego</w:t>
      </w:r>
    </w:p>
    <w:p w:rsidR="00424449" w:rsidRPr="004044DA" w:rsidRDefault="00424449" w:rsidP="00424449">
      <w:r>
        <w:t xml:space="preserve">W aktualizowanej Strategii Rozwoju Województwa Podkarpackiego przewidziano także kwestie konieczności wsparcia w kierunkach, które wynikają z zapisów osi VII </w:t>
      </w:r>
      <w:r w:rsidRPr="00C9387C">
        <w:t>RPO WP 2014-2020</w:t>
      </w:r>
      <w:r>
        <w:t xml:space="preserve">. Jednym z celów Strategii uczyniono </w:t>
      </w:r>
      <w:r>
        <w:rPr>
          <w:i/>
        </w:rPr>
        <w:t xml:space="preserve">Wzrost poziomu adaptacyjności zawodowej i integracji społecznej w regionie. </w:t>
      </w:r>
      <w:r>
        <w:t>W szczególności w ramach tego celu wskazano w Strategii konieczność wzrostu aktywności osób mających trudności z wejściem i utrzymaniem się na rynku pracy. Dodatkowo, w ramach kierunków działań mających na celu zmniejszenie poziomu biedy i wykluczenia społecznego w</w:t>
      </w:r>
      <w:r w:rsidR="002F7C58">
        <w:t> </w:t>
      </w:r>
      <w:r>
        <w:t xml:space="preserve"> </w:t>
      </w:r>
      <w:r>
        <w:lastRenderedPageBreak/>
        <w:t>województwie zaplanowano zwiększenie dostępu do instytucji opieki nad dziećmi. W zakresie zdrowia określono cel: zwiększenie bezpieczeństwa zdrowotnego społeczeństwa poprzez poprawę dostępności i jakości funkcjonowania systemu ochrony zdrowia. W celu tym zapisano między innymi potrzebę promocji zdrowia, a w szczególności konieczność wspierania organizacyjnego i finansowego programów edukacji zdrowotnej, ukierunkowanych na zapobieganie tzw. chorobom cywilizacyjnym oraz chorobom wieku starczego, oraz wdrożenie programów profilaktyki i leczenia – co wpisuje się w</w:t>
      </w:r>
      <w:r w:rsidR="002F7C58">
        <w:t> </w:t>
      </w:r>
      <w:r>
        <w:t xml:space="preserve"> PI 8.10. Pod tym względem należy stwierdzić, że cele strategiczne </w:t>
      </w:r>
      <w:r w:rsidRPr="00C9387C">
        <w:t>RPO WP 2014-2020</w:t>
      </w:r>
      <w:r>
        <w:t xml:space="preserve"> są spójne z</w:t>
      </w:r>
      <w:r w:rsidR="002F7C58">
        <w:t> </w:t>
      </w:r>
      <w:r>
        <w:t xml:space="preserve"> polityką na poziomie regionu, zapisaną w Strategii Rozwoju Województwa Podkarpackiego</w:t>
      </w:r>
      <w:bookmarkEnd w:id="23"/>
      <w:r>
        <w:t>.</w:t>
      </w:r>
    </w:p>
    <w:p w:rsidR="00424449" w:rsidRDefault="00424449">
      <w:pPr>
        <w:jc w:val="left"/>
      </w:pPr>
      <w:r>
        <w:br w:type="page"/>
      </w:r>
    </w:p>
    <w:p w:rsidR="00424449" w:rsidRPr="000D75B9" w:rsidRDefault="00424449" w:rsidP="00424449">
      <w:pPr>
        <w:pStyle w:val="Nagwek2"/>
        <w:rPr>
          <w:i/>
        </w:rPr>
      </w:pPr>
      <w:bookmarkStart w:id="24" w:name="_Toc375208056"/>
      <w:bookmarkStart w:id="25" w:name="_Toc384914409"/>
      <w:r w:rsidRPr="00352BB4">
        <w:rPr>
          <w:i/>
        </w:rPr>
        <w:lastRenderedPageBreak/>
        <w:t xml:space="preserve">Oś </w:t>
      </w:r>
      <w:r>
        <w:t xml:space="preserve">priorytetowa </w:t>
      </w:r>
      <w:r>
        <w:rPr>
          <w:i/>
        </w:rPr>
        <w:t>VIII</w:t>
      </w:r>
      <w:r w:rsidRPr="000D75B9">
        <w:rPr>
          <w:i/>
        </w:rPr>
        <w:t xml:space="preserve"> Integracja społeczna</w:t>
      </w:r>
      <w:bookmarkEnd w:id="24"/>
      <w:bookmarkEnd w:id="25"/>
    </w:p>
    <w:p w:rsidR="00424449" w:rsidRPr="00DA5071" w:rsidRDefault="00424449" w:rsidP="00424449">
      <w:pPr>
        <w:pStyle w:val="Nagwek3"/>
      </w:pPr>
      <w:r w:rsidRPr="00DA5071">
        <w:t>Ocena przesłanek interwencji</w:t>
      </w:r>
    </w:p>
    <w:p w:rsidR="00424449" w:rsidRDefault="00424449" w:rsidP="00424449">
      <w:r w:rsidRPr="00BA487B">
        <w:t>Diagnoza zawarta w sekcji 1 RPO</w:t>
      </w:r>
      <w:r>
        <w:t xml:space="preserve"> WP 2014-2020</w:t>
      </w:r>
      <w:r w:rsidRPr="00BA487B">
        <w:t xml:space="preserve"> uzasadnia </w:t>
      </w:r>
      <w:r>
        <w:t>interwencję zaplanowaną w</w:t>
      </w:r>
      <w:r w:rsidRPr="00BA487B">
        <w:t xml:space="preserve"> osi </w:t>
      </w:r>
      <w:r>
        <w:t>VIII</w:t>
      </w:r>
      <w:r w:rsidR="002B502A">
        <w:t xml:space="preserve"> </w:t>
      </w:r>
      <w:r w:rsidR="002B502A">
        <w:rPr>
          <w:i/>
        </w:rPr>
        <w:t>I</w:t>
      </w:r>
      <w:r w:rsidRPr="003E6EA5">
        <w:rPr>
          <w:i/>
        </w:rPr>
        <w:t>ntegracja społeczna</w:t>
      </w:r>
      <w:r w:rsidRPr="00BA487B">
        <w:t xml:space="preserve">. </w:t>
      </w:r>
      <w:r>
        <w:t>Słusznie podkreśla się relatywnie wysoki poziom ubóstwa i wykluczenia społecznego w województwie podkarpackim. Potwierdza to wiele przywołanych wskaźników.</w:t>
      </w:r>
      <w:r w:rsidR="002B502A">
        <w:t xml:space="preserve"> </w:t>
      </w:r>
      <w:r>
        <w:t xml:space="preserve">Komunikat jest pełny dzięki przywołaniu dużej liczby informacji, a mimo </w:t>
      </w:r>
      <w:r w:rsidR="002B502A">
        <w:t>to pozostaje czytelny. W </w:t>
      </w:r>
      <w:r>
        <w:t xml:space="preserve">opisie sytuacji wyraźnie wskazano główne ryzyka socjalne, które powodują ubóstwo i wykluczenie społeczne. </w:t>
      </w:r>
    </w:p>
    <w:p w:rsidR="00424449" w:rsidRDefault="00424449" w:rsidP="00424449">
      <w:r>
        <w:t xml:space="preserve">Należy przy tym zaznaczyć, że zgodnie z wynikami analiz prowadzonych przez GUS, sam fakt zamieszkiwania na terenie województwa podkarpackiego nie ma wpływu na poziom ubóstwa. Istotne są inne czynniki, które determinują ubóstwo, takie jak rodzaj głównego źródła utrzymania, fakt występowania w gospodarstwie domowym osób bezrobotnych, wykonywany zawód, jak i poziom wykształcenia głowy gospodarstwa domowego, </w:t>
      </w:r>
      <w:r w:rsidRPr="00CF1821">
        <w:t>liczba osób w gospodarstwie domow</w:t>
      </w:r>
      <w:r>
        <w:t>ym.</w:t>
      </w:r>
      <w:r w:rsidR="002B502A">
        <w:t xml:space="preserve"> </w:t>
      </w:r>
      <w:r>
        <w:t>Diagnoza słusznie stwierdza, że ubóstwo wiąże się najczęściej z brakiem pracy, a dodatkowymi czynnikami, które wpływają na ryzyko znalezienia się gospodarstwa w sferze ubóstwa dochodowego są: fakt występowania w gospodarstwie domowym osób bezrobotnych i niep</w:t>
      </w:r>
      <w:r w:rsidR="002B502A">
        <w:t xml:space="preserve">ełnosprawnych, wielodzietność i niepełność rodzin. </w:t>
      </w:r>
      <w:r>
        <w:t>Diagnoza wskazuje też na i</w:t>
      </w:r>
      <w:r w:rsidR="002B502A">
        <w:t>nne ważne determinanty ubóstwa.</w:t>
      </w:r>
      <w:r>
        <w:t xml:space="preserve"> W dokumencie podkreślono, że w wielu przypadkach podane czynniki współwystępują i wzajemnie się wzmacniają.</w:t>
      </w:r>
      <w:r w:rsidR="002B502A">
        <w:t xml:space="preserve"> </w:t>
      </w:r>
      <w:r>
        <w:t>Konsekwencją dla tego stwierdzenia jest zaplanow</w:t>
      </w:r>
      <w:r w:rsidR="002B502A">
        <w:t>anie interwencji kompleksowej i </w:t>
      </w:r>
      <w:r>
        <w:t>dopasowanie wsparcia do sytuacji danego gospodarstwa domowego.</w:t>
      </w:r>
      <w:r w:rsidR="002B502A">
        <w:rPr>
          <w:rStyle w:val="Odwoanieprzypisudolnego"/>
        </w:rPr>
        <w:footnoteReference w:id="82"/>
      </w:r>
      <w:r>
        <w:t xml:space="preserve"> </w:t>
      </w:r>
    </w:p>
    <w:p w:rsidR="00424449" w:rsidRPr="005B2EC2" w:rsidRDefault="00424449" w:rsidP="00424449">
      <w:r>
        <w:t>Uzasadnieniem interwencji jest nie tylko ocena sytuacji w zakresie ubóstwa i wykluczenia społecznego, ale również ocena dotychczasowego wsparcia. Jak pokazują dostępne badania, działania instytucji pomocy społecznej, z wielu powodów, okazują się niewystarczająco skuteczne. Koncentrują się bowiem na pomocy (głównie finansowej), a nie rozwiązywaniu problemów. Dominuje przy tym wysoki poziom formalizmu, co zmniejsza trafność wsparcia.</w:t>
      </w:r>
      <w:r>
        <w:rPr>
          <w:rStyle w:val="Odwoanieprzypisudolnego"/>
        </w:rPr>
        <w:footnoteReference w:id="83"/>
      </w:r>
      <w:r>
        <w:t xml:space="preserve"> W tym kontekście szansę na poprawę skuteczności wsparcia dają projekty finansowane ze środków Europejskiego Funduszu Społecznego. Jak pokazują wyniki badania ewaluacyjnego, efektywność wsparcia w ramach Priorytetu VII PO KL waha się od 18% w roku 2010 do 44% w roku 2013. Przy czym ta ostatnia wartość jest w dużym stopniu wynikiem występowania zjawiska </w:t>
      </w:r>
      <w:r>
        <w:rPr>
          <w:i/>
        </w:rPr>
        <w:t xml:space="preserve">creamingu, </w:t>
      </w:r>
      <w:r>
        <w:t>czyli rekrutowania do projektów osób w relatywnie lepszej sytuacji.</w:t>
      </w:r>
      <w:r>
        <w:rPr>
          <w:rStyle w:val="Odwoanieprzypisudolnego"/>
        </w:rPr>
        <w:footnoteReference w:id="84"/>
      </w:r>
      <w:r>
        <w:t xml:space="preserve"> Z drugiej strony badania panelowe pokazują, że efektywność wzrasta wraz z upływem czasu, osiągając po 30 miesiącach poziom 35%</w:t>
      </w:r>
      <w:r>
        <w:rPr>
          <w:rStyle w:val="Odwoanieprzypisudolnego"/>
        </w:rPr>
        <w:footnoteReference w:id="85"/>
      </w:r>
    </w:p>
    <w:p w:rsidR="00424449" w:rsidRDefault="00424449" w:rsidP="00424449">
      <w:r>
        <w:t xml:space="preserve">Oprócz działań aktywizujących, dla poradzenia sobie ze złożonymi problemami ubóstwa i wykluczenia społecznego kluczowe znaczenie mają dopasowane do potrzeb usługi społeczne. Szczególnie istotne są usługi opiekuńcze, dopasowane do cyklu życia, a także szeroko pojmowane usługi wsparcia </w:t>
      </w:r>
      <w:r>
        <w:lastRenderedPageBreak/>
        <w:t xml:space="preserve">rodziny. W przypadku usług opiekuńczych W Polsce rozwój usług na rzecz rodziny nabrał dodatkowego znaczenia, co pokazuje przyjęcie ustawy o wspieraniu rodziny i systemie pieczy zastępczej. Jednak zakres i jakość usług społecznych oceniane są jako zdecydowanie niewystarczające. Niestety brakuje solidnych, porównywalnych w czasie danych na temat poziomu zaspokojenia potrzeb na tego typu usługi. Podkreślają to nawet autorzy Krajowego Programu Przeciwdziałania Ubóstwu. Można jednak założyć, że </w:t>
      </w:r>
      <w:r w:rsidRPr="00850092">
        <w:rPr>
          <w:i/>
        </w:rPr>
        <w:t>zdecydowanie częściej pomocy adekwatnej do ich sytuacji życiowej i rodzinnej nie otrzymują niż otrzymują, że – co więcej - typowe działanie podejmowane przez służby społeczne wobec rodzin problemowych w praktyce ogranicza się do przyznania zasiłku</w:t>
      </w:r>
      <w:r>
        <w:t>.</w:t>
      </w:r>
      <w:r>
        <w:rPr>
          <w:rStyle w:val="Odwoanieprzypisudolnego"/>
        </w:rPr>
        <w:footnoteReference w:id="86"/>
      </w:r>
      <w:r>
        <w:t xml:space="preserve"> Tym bardziej należy pozytywnie ocenić diagnozę zawartą w diagnozie, w której w stosunkowo wyczerpujący sposób opisano kluczowe wyzwania w obszarze wykluczenia społecznego i dostępu do usług społecznych. Trafnie zwrócono uwagę na wzrost popytu na usługi społeczne, w tym usługi opiekuńcze, związane ze</w:t>
      </w:r>
      <w:r w:rsidR="002B502A">
        <w:t xml:space="preserve"> starzeniem się społeczeństwa i </w:t>
      </w:r>
      <w:r>
        <w:t>niepełnosprawnością. Słusznie zauważono także niską dostępność do usług specjalistów ds. rodziny.</w:t>
      </w:r>
    </w:p>
    <w:p w:rsidR="00424449" w:rsidRDefault="00424449" w:rsidP="00424449">
      <w:r>
        <w:t>W przypadku opisu wyzwań silnie skoncentrowano się na najważniejszych problemach, a dopiero w</w:t>
      </w:r>
      <w:r w:rsidR="002F7C58">
        <w:t> </w:t>
      </w:r>
      <w:r>
        <w:t xml:space="preserve"> następnej kolejności określono odpowiadające im oczekiwane efekty interwencji. Stanowią one dobry łącznik pomiędzy diagnozą zawartą w sekcji 1.1 a celami poszczególnych PI tej osi priorytetowej.</w:t>
      </w:r>
    </w:p>
    <w:p w:rsidR="00424449" w:rsidRDefault="00424449" w:rsidP="00424449">
      <w:r>
        <w:t>W sekcji 1.1 stosunkowo dużo miejsca poświęcono kwestii usług zdrowotnych, co zostało adekwatnie odzwierciedlone w opisie interwencji. Problemy w tym przypadku zostały trafnie wskazane. Wyraźnie określono</w:t>
      </w:r>
      <w:r w:rsidR="002B502A">
        <w:t xml:space="preserve"> </w:t>
      </w:r>
      <w:r>
        <w:t>związki przyczynowo</w:t>
      </w:r>
      <w:r w:rsidR="002B502A">
        <w:t>-</w:t>
      </w:r>
      <w:r>
        <w:t>skutkowe między zjawiskami w analizowanych obszarach</w:t>
      </w:r>
      <w:r w:rsidR="002B502A">
        <w:t xml:space="preserve"> </w:t>
      </w:r>
      <w:r>
        <w:t>a</w:t>
      </w:r>
      <w:r w:rsidR="002B502A">
        <w:t> </w:t>
      </w:r>
      <w:r>
        <w:t xml:space="preserve">oczekiwanymi efektami interwencji. W przypadku usług zdrowotnych precyzyjnie określono potrzeby, jakie interwencja powinna zaspokoić. </w:t>
      </w:r>
    </w:p>
    <w:p w:rsidR="00424449" w:rsidRDefault="00424449" w:rsidP="00424449">
      <w:pPr>
        <w:pStyle w:val="Nagwek3"/>
      </w:pPr>
      <w:r>
        <w:t>Ocena logiki interwencji i proponowanych form wsparcia</w:t>
      </w:r>
    </w:p>
    <w:p w:rsidR="00424449" w:rsidRDefault="00424449" w:rsidP="00424449">
      <w:pPr>
        <w:pStyle w:val="Nagwek4"/>
      </w:pPr>
      <w:r>
        <w:t>Poziom osi priorytetowej</w:t>
      </w:r>
    </w:p>
    <w:p w:rsidR="00424449" w:rsidRDefault="00424449" w:rsidP="00424449">
      <w:r>
        <w:t xml:space="preserve">W osi priorytetowej nie sformułowano celu głównego, co jest zgodne ze wzorem programu operacyjnego. W osi uwzględniono priorytety inwestycyjne finansowane z EFS: 9.4, 9.7 i 9.8. Zapisana w programie komplementarność wsparcia z odpowiednimi PI z CT 9 nastawionymi na rozwój infrastruktury (finansowanych z EFRR) pozwala na zaprogramowanie interwencji możliwe kompleksowej. </w:t>
      </w:r>
    </w:p>
    <w:p w:rsidR="00424449" w:rsidRDefault="00424449" w:rsidP="00424449">
      <w:r>
        <w:t>W kontekście analizowanego celu szczególne znaczenie ma kwestia spójności pomiędzy priorytetami finansowanymi z EFS i EFRR. Na poziomie dokumentów wdrożeniowych uwagi wymaga kwestia zapewnienia skutecznego powiązania interwencji finansowanej z obu funduszy. Za słuszne należy uznać wskazaną w programie wiodącą rolę EFS.</w:t>
      </w:r>
      <w:r w:rsidR="00414821">
        <w:t xml:space="preserve"> </w:t>
      </w:r>
      <w:r>
        <w:t>Jednak w praktyce, ze względu chociażby na alokację a także wagę nadawaną inwestycjom „twardym”, relacja ta może ulec odwróceniu. Na etapie wdrażania należy kontrolować relację i komplementarność wybranych PI.</w:t>
      </w:r>
    </w:p>
    <w:p w:rsidR="00424449" w:rsidRDefault="00424449" w:rsidP="00424449">
      <w:pPr>
        <w:sectPr w:rsidR="00424449" w:rsidSect="00607AE2">
          <w:pgSz w:w="11906" w:h="16838"/>
          <w:pgMar w:top="1985" w:right="1418" w:bottom="1418" w:left="1418" w:header="708" w:footer="708" w:gutter="0"/>
          <w:cols w:space="708"/>
          <w:docGrid w:linePitch="360"/>
        </w:sectPr>
      </w:pPr>
    </w:p>
    <w:p w:rsidR="002B502A" w:rsidRPr="00424449" w:rsidRDefault="002B502A" w:rsidP="002B502A">
      <w:pPr>
        <w:pStyle w:val="Legenda"/>
        <w:keepNext/>
      </w:pPr>
      <w:r w:rsidRPr="00424449">
        <w:lastRenderedPageBreak/>
        <w:t xml:space="preserve">Schemat </w:t>
      </w:r>
      <w:r w:rsidR="001B04AC">
        <w:fldChar w:fldCharType="begin"/>
      </w:r>
      <w:r w:rsidR="008E1D74">
        <w:instrText xml:space="preserve"> SEQ Schemat \* ARABIC </w:instrText>
      </w:r>
      <w:r w:rsidR="001B04AC">
        <w:fldChar w:fldCharType="separate"/>
      </w:r>
      <w:r w:rsidR="00832320">
        <w:rPr>
          <w:noProof/>
        </w:rPr>
        <w:t>10</w:t>
      </w:r>
      <w:r w:rsidR="001B04AC">
        <w:rPr>
          <w:noProof/>
        </w:rPr>
        <w:fldChar w:fldCharType="end"/>
      </w:r>
      <w:r w:rsidRPr="00424449">
        <w:t xml:space="preserve">. Model logiczny osi priorytetowej </w:t>
      </w:r>
      <w:r>
        <w:t>V</w:t>
      </w:r>
      <w:r w:rsidRPr="00424449">
        <w:t>III</w:t>
      </w:r>
    </w:p>
    <w:tbl>
      <w:tblPr>
        <w:tblStyle w:val="Tabela-Siatka"/>
        <w:tblW w:w="55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794"/>
      </w:tblGrid>
      <w:tr w:rsidR="002B502A" w:rsidRPr="00424449" w:rsidTr="002B502A">
        <w:trPr>
          <w:jc w:val="center"/>
        </w:trPr>
        <w:tc>
          <w:tcPr>
            <w:tcW w:w="9286" w:type="dxa"/>
            <w:shd w:val="clear" w:color="auto" w:fill="A4BEDD" w:themeFill="accent1" w:themeFillTint="66"/>
          </w:tcPr>
          <w:p w:rsidR="002B502A" w:rsidRPr="00424449" w:rsidRDefault="002B502A" w:rsidP="002B502A">
            <w:pPr>
              <w:spacing w:before="120" w:after="120"/>
              <w:jc w:val="center"/>
              <w:rPr>
                <w:i/>
                <w:noProof/>
                <w:lang w:eastAsia="pl-PL"/>
              </w:rPr>
            </w:pPr>
            <w:r w:rsidRPr="00424449">
              <w:rPr>
                <w:b/>
                <w:i/>
                <w:noProof/>
                <w:sz w:val="20"/>
                <w:lang w:eastAsia="pl-PL"/>
              </w:rPr>
              <w:t xml:space="preserve">oś priorytetowa </w:t>
            </w:r>
            <w:r>
              <w:rPr>
                <w:b/>
                <w:i/>
                <w:noProof/>
                <w:sz w:val="20"/>
                <w:lang w:eastAsia="pl-PL"/>
              </w:rPr>
              <w:t>V</w:t>
            </w:r>
            <w:r w:rsidRPr="00424449">
              <w:rPr>
                <w:b/>
                <w:i/>
                <w:noProof/>
                <w:sz w:val="20"/>
                <w:lang w:eastAsia="pl-PL"/>
              </w:rPr>
              <w:t xml:space="preserve">III. </w:t>
            </w:r>
            <w:r>
              <w:rPr>
                <w:b/>
                <w:i/>
                <w:noProof/>
                <w:sz w:val="20"/>
                <w:lang w:eastAsia="pl-PL"/>
              </w:rPr>
              <w:t>Integracja społeczna</w:t>
            </w:r>
          </w:p>
        </w:tc>
      </w:tr>
      <w:tr w:rsidR="002B502A" w:rsidRPr="00424449" w:rsidTr="002B502A">
        <w:trPr>
          <w:jc w:val="center"/>
        </w:trPr>
        <w:tc>
          <w:tcPr>
            <w:tcW w:w="9286" w:type="dxa"/>
          </w:tcPr>
          <w:p w:rsidR="002B502A" w:rsidRPr="00424449" w:rsidRDefault="001B04AC" w:rsidP="002B502A">
            <w:pPr>
              <w:spacing w:before="240" w:after="240"/>
              <w:rPr>
                <w:i/>
              </w:rPr>
            </w:pPr>
            <w:r w:rsidRPr="001B04AC">
              <w:rPr>
                <w:noProof/>
                <w:lang w:eastAsia="pl-PL"/>
              </w:rPr>
            </w:r>
            <w:r w:rsidRPr="001B04AC">
              <w:rPr>
                <w:noProof/>
                <w:lang w:eastAsia="pl-PL"/>
              </w:rPr>
              <w:pict>
                <v:group id="Canvas 249" o:spid="_x0000_s1190" editas="canvas" style="width:778.9pt;height:345.05pt;mso-position-horizontal-relative:char;mso-position-vertical-relative:line" coordsize="98920,43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">
                  <v:shape id="_x0000_s1191" type="#_x0000_t75" style="position:absolute;width:98920;height:43821;visibility:visible">
                    <v:fill o:detectmouseclick="t"/>
                    <v:path o:connecttype="none"/>
                  </v:shape>
                  <v:rect id="Prostokąt 2" o:spid="_x0000_s1192" style="position:absolute;left:42778;top:1772;width:18000;height:108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5X+8YA&#10;AADcAAAADwAAAGRycy9kb3ducmV2LnhtbESPQWvCQBSE7wX/w/IK3uqmQUqNWUWkAfVQqpZAb4/s&#10;Mwlm34bsNon++m6h0OMwM98w6Xo0jeipc7VlBc+zCARxYXXNpYLPc/b0CsJ5ZI2NZVJwIwfr1eQh&#10;xUTbgY/Un3wpAoRdggoq79tESldUZNDNbEscvIvtDPogu1LqDocAN42Mo+hFGqw5LFTY0rai4nr6&#10;Ngo+hize5f09f6/vl8PbhuzXsLdKTR/HzRKEp9H/h//aO61gMZ/D75lwBO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5X+8YAAADcAAAADwAAAAAAAAAAAAAAAACYAgAAZHJz&#10;L2Rvd25yZXYueG1sUEsFBgAAAAAEAAQA9QAAAIsDAAAAAA==&#10;" fillcolor="#c2d69b" stroked="f">
                    <v:textbox>
                      <w:txbxContent>
                        <w:p w:rsidR="00832320" w:rsidRPr="002B502A" w:rsidRDefault="00832320" w:rsidP="002B502A">
                          <w:pPr>
                            <w:pStyle w:val="NormalnyWeb"/>
                            <w:jc w:val="center"/>
                            <w:rPr>
                              <w:rFonts w:ascii="Calibri" w:hAnsi="Calibri" w:cs="Arial"/>
                              <w:sz w:val="14"/>
                              <w:szCs w:val="14"/>
                            </w:rPr>
                          </w:pPr>
                          <w:r w:rsidRPr="002B502A">
                            <w:rPr>
                              <w:rFonts w:ascii="Calibri" w:hAnsi="Calibri" w:cs="Arial"/>
                              <w:sz w:val="14"/>
                              <w:szCs w:val="14"/>
                            </w:rPr>
                            <w:t>Zwiększenie liczby osób korzystających z wysokiej jakości usług społecznych (9.7)</w:t>
                          </w:r>
                        </w:p>
                      </w:txbxContent>
                    </v:textbox>
                  </v:rect>
                  <v:rect id="Prostokąt 21" o:spid="_x0000_s1193" style="position:absolute;left:12722;top:1772;width:27750;height:108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LyYMYA&#10;AADcAAAADwAAAGRycy9kb3ducmV2LnhtbESPT2vCQBTE7wW/w/IEb3WjtEWjq4hUsB7EfwjeHtln&#10;Esy+Ddk1iX56t1DocZiZ3zDTeWsKUVPlcssKBv0IBHFidc6pgtNx9T4C4TyyxsIyKXiQg/ms8zbF&#10;WNuG91QffCoChF2MCjLvy1hKl2Rk0PVtSRy8q60M+iCrVOoKmwA3hRxG0Zc0mHNYyLCkZUbJ7XA3&#10;CnbNarg+18/zNn9eN98LspfmxyrV67aLCQhPrf8P/7XXWsH44xN+z4Qj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LyYMYAAADcAAAADwAAAAAAAAAAAAAAAACYAgAAZHJz&#10;L2Rvd25yZXYueG1sUEsFBgAAAAAEAAQA9QAAAIsDAAAAAA==&#10;" fillcolor="#c2d69b" stroked="f">
                    <v:textbox>
                      <w:txbxContent>
                        <w:p w:rsidR="00832320" w:rsidRPr="002B502A" w:rsidRDefault="00832320" w:rsidP="002B502A">
                          <w:pPr>
                            <w:pStyle w:val="NormalnyWeb"/>
                            <w:jc w:val="center"/>
                            <w:rPr>
                              <w:rFonts w:ascii="Calibri" w:hAnsi="Calibri" w:cs="Arial"/>
                              <w:sz w:val="14"/>
                              <w:szCs w:val="14"/>
                            </w:rPr>
                          </w:pPr>
                          <w:r w:rsidRPr="002B502A">
                            <w:rPr>
                              <w:rFonts w:ascii="Calibri" w:hAnsi="Calibri" w:cs="Arial"/>
                              <w:sz w:val="14"/>
                              <w:szCs w:val="14"/>
                            </w:rPr>
                            <w:t>Wzrost aktywności społecznej i zawodowej oraz samodzielności osób będących w szczególnie niekorzystnej sytuacji społecznej i zawodowej (9.4)</w:t>
                          </w:r>
                        </w:p>
                      </w:txbxContent>
                    </v:textbox>
                  </v:rect>
                  <v:rect id="Prostokąt 2" o:spid="_x0000_s1194" style="position:absolute;left:62496;top:1772;width:14393;height:108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sF8YA&#10;AADcAAAADwAAAGRycy9kb3ducmV2LnhtbESPQWvCQBSE70L/w/IKvdVNQxEbs4oUA9ZDUVsCvT2y&#10;zySYfRuya5L6691CweMwM98w6Wo0jeipc7VlBS/TCARxYXXNpYLvr+x5DsJ5ZI2NZVLwSw5Wy4dJ&#10;iom2Ax+oP/pSBAi7BBVU3reJlK6oyKCb2pY4eCfbGfRBdqXUHQ4BbhoZR9FMGqw5LFTY0ntFxfl4&#10;MQr2QxZv8/6af9bX026zJvszfFilnh7H9QKEp9Hfw//trVbw9jqDvzPhCM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BsF8YAAADcAAAADwAAAAAAAAAAAAAAAACYAgAAZHJz&#10;L2Rvd25yZXYueG1sUEsFBgAAAAAEAAQA9QAAAIsDAAAAAA==&#10;" fillcolor="#c2d69b" stroked="f">
                    <v:textbox>
                      <w:txbxContent>
                        <w:p w:rsidR="00832320" w:rsidRPr="002B502A" w:rsidRDefault="00832320" w:rsidP="002B502A">
                          <w:pPr>
                            <w:pStyle w:val="NormalnyWeb"/>
                            <w:jc w:val="center"/>
                            <w:rPr>
                              <w:rFonts w:ascii="Calibri" w:hAnsi="Calibri" w:cs="Arial"/>
                              <w:sz w:val="14"/>
                              <w:szCs w:val="14"/>
                            </w:rPr>
                          </w:pPr>
                          <w:r w:rsidRPr="002B502A">
                            <w:rPr>
                              <w:rFonts w:ascii="Calibri" w:hAnsi="Calibri" w:cs="Arial"/>
                              <w:sz w:val="14"/>
                              <w:szCs w:val="14"/>
                            </w:rPr>
                            <w:t>Zwiększenie liczby osób korzystających z wysokiej jakości usług zdrowotnych (9.7)</w:t>
                          </w:r>
                        </w:p>
                      </w:txbxContent>
                    </v:textbox>
                  </v:rect>
                  <v:rect id="Prostokąt 2" o:spid="_x0000_s1195" style="position:absolute;left:79831;top:1773;width:14233;height:108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JjMYA&#10;AADcAAAADwAAAGRycy9kb3ducmV2LnhtbESPT2vCQBTE7wW/w/IEb3WjlFajq4hUsB7EfwjeHtln&#10;Esy+Ddk1iX56t1DocZiZ3zDTeWsKUVPlcssKBv0IBHFidc6pgtNx9T4C4TyyxsIyKXiQg/ms8zbF&#10;WNuG91QffCoChF2MCjLvy1hKl2Rk0PVtSRy8q60M+iCrVOoKmwA3hRxG0ac0mHNYyLCkZUbJ7XA3&#10;CnbNarg+18/zNn9eN98LspfmxyrV67aLCQhPrf8P/7XXWsH44wt+z4Qj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zJjMYAAADcAAAADwAAAAAAAAAAAAAAAACYAgAAZHJz&#10;L2Rvd25yZXYueG1sUEsFBgAAAAAEAAQA9QAAAIsDAAAAAA==&#10;" fillcolor="#c2d69b" stroked="f">
                    <v:textbox>
                      <w:txbxContent>
                        <w:p w:rsidR="00832320" w:rsidRPr="002B502A" w:rsidRDefault="00832320" w:rsidP="002B502A">
                          <w:pPr>
                            <w:pStyle w:val="NormalnyWeb"/>
                            <w:jc w:val="center"/>
                            <w:rPr>
                              <w:rFonts w:ascii="Calibri" w:hAnsi="Calibri" w:cs="Arial"/>
                              <w:sz w:val="14"/>
                              <w:szCs w:val="14"/>
                            </w:rPr>
                          </w:pPr>
                          <w:r w:rsidRPr="002B502A">
                            <w:rPr>
                              <w:rFonts w:ascii="Calibri" w:hAnsi="Calibri" w:cs="Arial"/>
                              <w:sz w:val="14"/>
                              <w:szCs w:val="14"/>
                            </w:rPr>
                            <w:t>Wzmocnienie roli podmiotów ekonomii społecznej w aktywizacji osób w niekorzystnej sytuacji oraz w dostarczaniu usług użyteczności społecznej w regionie (9.8)</w:t>
                          </w:r>
                        </w:p>
                      </w:txbxContent>
                    </v:textbox>
                  </v:rect>
                  <v:rect id="Prostokąt 2" o:spid="_x0000_s1196" style="position:absolute;left:42778;top:15344;width:18000;height:28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Nz18EA&#10;AADcAAAADwAAAGRycy9kb3ducmV2LnhtbERPy4rCMBTdC/MP4Q6409QH6lSjDIIgCoKd+YA7zbUt&#10;NjedJNb692YhuDyc92rTmVq05HxlWcFomIAgzq2uuFDw+7MbLED4gKyxtkwKHuRhs/7orTDV9s5n&#10;arNQiBjCPkUFZQhNKqXPSzLoh7YhjtzFOoMhQldI7fAew00tx0kykwYrjg0lNrQtKb9mN6Ng1/7P&#10;z3+jxeQ0PoZrPs88uYNXqv/ZfS9BBOrCW/xy77WCr2lcG8/EI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Dc9fBAAAA3AAAAA8AAAAAAAAAAAAAAAAAmAIAAGRycy9kb3du&#10;cmV2LnhtbFBLBQYAAAAABAAEAPUAAACGAwAAAAA=&#10;" fillcolor="#d1deee" stroked="f">
                    <v:textbox>
                      <w:txbxContent>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776CAB">
                            <w:rPr>
                              <w:rFonts w:ascii="Calibri" w:hAnsi="Calibri"/>
                              <w:sz w:val="14"/>
                              <w:szCs w:val="14"/>
                            </w:rPr>
                            <w:t>działania profilaktyczne na rzecz prawidłowego funkcjonowania rodziny</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776CAB">
                            <w:rPr>
                              <w:rFonts w:ascii="Calibri" w:hAnsi="Calibri"/>
                              <w:sz w:val="14"/>
                              <w:szCs w:val="14"/>
                            </w:rPr>
                            <w:t>rozwój placówek wsparcia dziennego</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776CAB">
                            <w:rPr>
                              <w:rFonts w:ascii="Calibri" w:hAnsi="Calibri"/>
                              <w:sz w:val="14"/>
                              <w:szCs w:val="14"/>
                            </w:rPr>
                            <w:t>wspieranie bezpłatnego poradnictwa prawnego i obywatelskiego</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776CAB">
                            <w:rPr>
                              <w:rFonts w:ascii="Calibri" w:hAnsi="Calibri"/>
                              <w:sz w:val="14"/>
                              <w:szCs w:val="14"/>
                            </w:rPr>
                            <w:t>usługi rodzin wspierających, usługi opiekuńcze i specjalistyczne dla rodziny w sytuacji, gdy członek rodziny jest osobą zależną</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B96043">
                            <w:rPr>
                              <w:rFonts w:ascii="Calibri" w:hAnsi="Calibri"/>
                              <w:sz w:val="14"/>
                              <w:szCs w:val="14"/>
                            </w:rPr>
                            <w:t>sfinansowanie dziennego czy też rodzinnego domu pomocy, usług asystenta osoby zależnej,</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B96043">
                            <w:rPr>
                              <w:rFonts w:ascii="Calibri" w:hAnsi="Calibri"/>
                              <w:sz w:val="14"/>
                              <w:szCs w:val="14"/>
                            </w:rPr>
                            <w:t>wsparcie instytucjonalnych form opieki nad osobami starszymi i niesamodzielnymi, w tym np. świadczeń geriatrycznych, ambulatoryjnych i stacjonarnych placówek geriatrycznych, rozwój opieki długoterminowej,</w:t>
                          </w:r>
                        </w:p>
                        <w:p w:rsidR="00832320" w:rsidRDefault="00832320" w:rsidP="002B502A">
                          <w:pPr>
                            <w:pStyle w:val="NormalnyWeb"/>
                            <w:spacing w:before="0" w:beforeAutospacing="0" w:after="0" w:afterAutospacing="0"/>
                          </w:pPr>
                          <w:r>
                            <w:rPr>
                              <w:rFonts w:ascii="Calibri" w:hAnsi="Calibri"/>
                              <w:sz w:val="14"/>
                              <w:szCs w:val="14"/>
                            </w:rPr>
                            <w:t xml:space="preserve">- </w:t>
                          </w:r>
                          <w:r w:rsidRPr="00B96043">
                            <w:rPr>
                              <w:rFonts w:ascii="Calibri" w:hAnsi="Calibri"/>
                              <w:sz w:val="14"/>
                              <w:szCs w:val="14"/>
                            </w:rPr>
                            <w:t>finansowanie usług dla osób chorych psychicznie i z zaburzeniami psychicznymi, w tym opieki p</w:t>
                          </w:r>
                          <w:r>
                            <w:rPr>
                              <w:rFonts w:ascii="Calibri" w:hAnsi="Calibri"/>
                              <w:sz w:val="14"/>
                              <w:szCs w:val="14"/>
                            </w:rPr>
                            <w:t>sychiatrycznej i psychologiczne</w:t>
                          </w:r>
                          <w:r w:rsidRPr="00B96043">
                            <w:rPr>
                              <w:rFonts w:ascii="Calibri" w:hAnsi="Calibri"/>
                              <w:sz w:val="14"/>
                              <w:szCs w:val="14"/>
                            </w:rPr>
                            <w:t>,</w:t>
                          </w:r>
                        </w:p>
                      </w:txbxContent>
                    </v:textbox>
                  </v:rect>
                  <v:rect id="Prostokąt 21" o:spid="_x0000_s1197" style="position:absolute;left:12722;top:15346;width:27750;height:28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WTMQA&#10;AADcAAAADwAAAGRycy9kb3ducmV2LnhtbESP3WrCQBSE7wXfYTmCd7rxB39SV5GCIBYE0z7AafY0&#10;CWbPxt1tjG/fFYReDjPzDbPZdaYWLTlfWVYwGScgiHOrKy4UfH0eRisQPiBrrC2Tggd52G37vQ2m&#10;2t75Qm0WChEh7FNUUIbQpFL6vCSDfmwb4uj9WGcwROkKqR3eI9zUcpokC2mw4rhQYkPvJeXX7Nco&#10;OLS35eV7spqdpx/hmi8zT+7klRoOuv0biEBd+A+/2ketYD1fw/NMP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P1kzEAAAA3AAAAA8AAAAAAAAAAAAAAAAAmAIAAGRycy9k&#10;b3ducmV2LnhtbFBLBQYAAAAABAAEAPUAAACJAwAAAAA=&#10;" fillcolor="#d1deee" stroked="f">
                    <v:textbox>
                      <w:txbxContent>
                        <w:p w:rsidR="00832320" w:rsidRPr="006F471C" w:rsidRDefault="00832320" w:rsidP="006F471C">
                          <w:pPr>
                            <w:pStyle w:val="NormalnyWeb"/>
                            <w:spacing w:before="0" w:beforeAutospacing="0" w:after="0" w:afterAutospacing="0"/>
                            <w:rPr>
                              <w:rFonts w:asciiTheme="minorHAnsi" w:hAnsiTheme="minorHAnsi"/>
                              <w:sz w:val="14"/>
                              <w:szCs w:val="14"/>
                            </w:rPr>
                          </w:pPr>
                          <w:r w:rsidRPr="006F471C">
                            <w:rPr>
                              <w:rFonts w:asciiTheme="minorHAnsi" w:hAnsiTheme="minorHAnsi"/>
                              <w:sz w:val="14"/>
                              <w:szCs w:val="14"/>
                            </w:rPr>
                            <w:t>- zintegrowane oraz zindywidualizowane programy aktywizacji społeczno-zawodowej, zawierające w zależności od potrzeb: elementy aktywizacji edukacyjnej, zawodowej, zdrowotnej i społecznej,</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działania o charakterze prewencyjnym w stosunku do zjawiska wykluczenia społecznego, w tym przeciwdziałanie patologiom społecznym (alkoholizm, przemoc, itp.)</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działania środowiskowe na rzecz społeczności, animacja społeczna</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wspólne inicjatywy jednostek pomocy społecznej i instytucji rynku pracy, zwiększające efektywność i kompleksowość udzielanego wsparcia</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włączanie osób niepełnosprawnych w zajęcia na rzecz aktywizacji zawodowej, realizowane w warsztatach terapii zajęciowej poprzez finansowanie zajęć związanych z uczestnictwem w WTZ (w zakresie nie finansowanym przez PFRON) oraz działań na rzecz aktywnej integracji dotychczas nie oferowanych przez WTZ (np. zajęcia aktywizacyjne), stanowiących poszerzenie oferty WTZ</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 xml:space="preserve"> finansowanie programów zatrudnienia wspomaganego dla osób niepełnosprawnych</w:t>
                          </w:r>
                        </w:p>
                        <w:p w:rsidR="00832320" w:rsidRPr="006F471C" w:rsidRDefault="00832320" w:rsidP="006F471C">
                          <w:pPr>
                            <w:pStyle w:val="NormalnyWeb"/>
                            <w:spacing w:before="0" w:beforeAutospacing="0" w:after="0" w:afterAutospacing="0"/>
                            <w:rPr>
                              <w:rFonts w:asciiTheme="minorHAnsi" w:hAnsiTheme="minorHAnsi" w:cs="Arial"/>
                              <w:sz w:val="14"/>
                              <w:szCs w:val="14"/>
                            </w:rPr>
                          </w:pPr>
                          <w:r>
                            <w:rPr>
                              <w:rFonts w:asciiTheme="minorHAnsi" w:hAnsiTheme="minorHAnsi" w:cs="Arial"/>
                              <w:sz w:val="14"/>
                              <w:szCs w:val="14"/>
                            </w:rPr>
                            <w:t>-</w:t>
                          </w:r>
                          <w:r w:rsidRPr="006F471C">
                            <w:rPr>
                              <w:rFonts w:asciiTheme="minorHAnsi" w:hAnsiTheme="minorHAnsi" w:cs="Arial"/>
                              <w:sz w:val="14"/>
                              <w:szCs w:val="14"/>
                            </w:rPr>
                            <w:t xml:space="preserve"> wsparcie działalności w zakresie reintegracji zawodowej i społecznej, w szczególności prowadzonej przez takie podmioty jak Zakłady Aktywności Zawodowej, Kluby oraz Centra Integracji Społecznej</w:t>
                          </w:r>
                        </w:p>
                      </w:txbxContent>
                    </v:textbox>
                  </v:rect>
                  <v:rect id="Prostokąt 2" o:spid="_x0000_s1198" style="position:absolute;left:79831;top:15345;width:14233;height:28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pDMEA&#10;AADcAAAADwAAAGRycy9kb3ducmV2LnhtbERPy4rCMBTdC/MP4Q6401TFx1SjDIIgCoKd+YA7zbUt&#10;NjedJNb692YhuDyc92rTmVq05HxlWcFomIAgzq2uuFDw+7MbLED4gKyxtkwKHuRhs/7orTDV9s5n&#10;arNQiBjCPkUFZQhNKqXPSzLoh7YhjtzFOoMhQldI7fAew00tx0kykwYrjg0lNrQtKb9mN6Ng1/7P&#10;z3+jxeQ0PoZrPs88uYNXqv/ZfS9BBOrCW/xy77WCr2mcH8/EI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s6QzBAAAA3AAAAA8AAAAAAAAAAAAAAAAAmAIAAGRycy9kb3du&#10;cmV2LnhtbFBLBQYAAAAABAAEAPUAAACGAwAAAAA=&#10;" fillcolor="#d1deee" stroked="f">
                    <v:textbox>
                      <w:txbxContent>
                        <w:p w:rsidR="00832320" w:rsidRPr="00056E84" w:rsidRDefault="00832320" w:rsidP="002B502A">
                          <w:pPr>
                            <w:pStyle w:val="NormalnyWeb"/>
                            <w:spacing w:before="0" w:beforeAutospacing="0" w:after="0" w:afterAutospacing="0"/>
                            <w:rPr>
                              <w:rFonts w:ascii="Calibri" w:hAnsi="Calibri"/>
                              <w:sz w:val="14"/>
                              <w:szCs w:val="14"/>
                            </w:rPr>
                          </w:pPr>
                          <w:r w:rsidRPr="00056E84">
                            <w:rPr>
                              <w:rFonts w:ascii="Calibri" w:hAnsi="Calibri"/>
                              <w:sz w:val="14"/>
                              <w:szCs w:val="14"/>
                            </w:rPr>
                            <w:t xml:space="preserve">- realizacja usług wspierających podmioty ekonomii społecznej przez instytucje wsparcia ekonomii społecznej, </w:t>
                          </w:r>
                        </w:p>
                        <w:p w:rsidR="00832320" w:rsidRPr="00056E84" w:rsidRDefault="00832320" w:rsidP="002B502A">
                          <w:pPr>
                            <w:pStyle w:val="NormalnyWeb"/>
                            <w:spacing w:before="0" w:beforeAutospacing="0" w:after="0" w:afterAutospacing="0"/>
                            <w:rPr>
                              <w:rFonts w:ascii="Calibri" w:hAnsi="Calibri"/>
                              <w:sz w:val="14"/>
                              <w:szCs w:val="14"/>
                            </w:rPr>
                          </w:pPr>
                          <w:r w:rsidRPr="00056E84">
                            <w:rPr>
                              <w:rFonts w:ascii="Calibri" w:hAnsi="Calibri"/>
                              <w:sz w:val="14"/>
                              <w:szCs w:val="14"/>
                            </w:rPr>
                            <w:t xml:space="preserve">- dotacje na tworzenie przedsiębiorstw społecznych, na działalność integracyjną </w:t>
                          </w:r>
                        </w:p>
                        <w:p w:rsidR="00832320" w:rsidRPr="00056E84" w:rsidRDefault="00832320" w:rsidP="002B502A">
                          <w:pPr>
                            <w:pStyle w:val="NormalnyWeb"/>
                            <w:spacing w:before="0" w:beforeAutospacing="0" w:after="0" w:afterAutospacing="0"/>
                            <w:rPr>
                              <w:rFonts w:ascii="Calibri" w:hAnsi="Calibri"/>
                              <w:sz w:val="14"/>
                              <w:szCs w:val="14"/>
                            </w:rPr>
                          </w:pPr>
                          <w:r w:rsidRPr="00056E84">
                            <w:rPr>
                              <w:rFonts w:ascii="Calibri" w:hAnsi="Calibri"/>
                              <w:sz w:val="14"/>
                              <w:szCs w:val="14"/>
                            </w:rPr>
                            <w:t>- wsparcie działań na rzecz samoorganizacji i federalizacji sektora,</w:t>
                          </w:r>
                        </w:p>
                        <w:p w:rsidR="00832320" w:rsidRPr="00056E84" w:rsidRDefault="00832320" w:rsidP="002B502A">
                          <w:pPr>
                            <w:pStyle w:val="NormalnyWeb"/>
                            <w:spacing w:before="0" w:beforeAutospacing="0" w:after="0" w:afterAutospacing="0"/>
                            <w:rPr>
                              <w:rFonts w:ascii="Calibri" w:hAnsi="Calibri"/>
                              <w:sz w:val="14"/>
                              <w:szCs w:val="14"/>
                            </w:rPr>
                          </w:pPr>
                          <w:r w:rsidRPr="00056E84">
                            <w:rPr>
                              <w:rFonts w:ascii="Calibri" w:hAnsi="Calibri"/>
                              <w:sz w:val="14"/>
                              <w:szCs w:val="14"/>
                            </w:rPr>
                            <w:t xml:space="preserve">- promocja ekonomii społecznej w regionie, </w:t>
                          </w:r>
                        </w:p>
                        <w:p w:rsidR="00832320" w:rsidRPr="00056E84" w:rsidRDefault="00832320" w:rsidP="002B502A">
                          <w:pPr>
                            <w:pStyle w:val="NormalnyWeb"/>
                            <w:spacing w:before="0" w:beforeAutospacing="0" w:after="0" w:afterAutospacing="0"/>
                            <w:rPr>
                              <w:rFonts w:ascii="Calibri" w:hAnsi="Calibri"/>
                              <w:sz w:val="14"/>
                              <w:szCs w:val="14"/>
                            </w:rPr>
                          </w:pPr>
                          <w:r w:rsidRPr="00056E84">
                            <w:rPr>
                              <w:rFonts w:ascii="Calibri" w:hAnsi="Calibri"/>
                              <w:sz w:val="14"/>
                              <w:szCs w:val="14"/>
                            </w:rPr>
                            <w:t>- współfinansowanie koordynacji działań w zakresie ekonomii społecznej</w:t>
                          </w:r>
                        </w:p>
                      </w:txbxContent>
                    </v:textbox>
                  </v:rect>
                  <v:shape id="Łącznik prosty ze strzałką 37" o:spid="_x0000_s1199" type="#_x0000_t32" style="position:absolute;left:26597;top:12573;width:0;height:277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l4DcQAAADcAAAADwAAAGRycy9kb3ducmV2LnhtbESPQYvCMBSE7wv+h/AEb2uqou5Wo6ig&#10;iBdp3b0/m2dbbF5KE7X+eyMs7HGYmW+Y+bI1lbhT40rLCgb9CARxZnXJuYKf0/bzC4TzyBory6Tg&#10;SQ6Wi87HHGNtH5zQPfW5CBB2MSoovK9jKV1WkEHXtzVx8C62MeiDbHKpG3wEuKnkMIom0mDJYaHA&#10;mjYFZdf0ZhSMpme3vvyOh7f8MDrud3adJpNEqV63Xc1AeGr9f/ivvdcKvscDeJ8JR0Au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OXgNxAAAANwAAAAPAAAAAAAAAAAA&#10;AAAAAKECAABkcnMvZG93bnJldi54bWxQSwUGAAAAAAQABAD5AAAAkgMAAAAA&#10;" strokecolor="#335a8a">
                    <v:stroke endarrow="open"/>
                  </v:shape>
                  <v:shape id="Łącznik prosty ze strzałką 37" o:spid="_x0000_s1200" type="#_x0000_t32" style="position:absolute;left:51778;top:12573;width:0;height:603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mesUAAADcAAAADwAAAGRycy9kb3ducmV2LnhtbESPQWvCQBSE7wX/w/IEb83GiNam2YgK&#10;ivRSEtv7a/aZhGbfhuyq6b/vFgo9DjPzDZNtRtOJGw2utaxgHsUgiCurW64VvJ8Pj2sQziNr7CyT&#10;gm9ysMknDxmm2t65oFvpaxEg7FJU0Hjfp1K6qiGDLrI9cfAudjDogxxqqQe8B7jpZBLHK2mw5bDQ&#10;YE/7hqqv8moULJ4+3e7ysUyu9evi7XS0u7JYFUrNpuP2BYSn0f+H/9onreB5mcDvmXAE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vmesUAAADcAAAADwAAAAAAAAAA&#10;AAAAAAChAgAAZHJzL2Rvd25yZXYueG1sUEsFBgAAAAAEAAQA+QAAAJMDAAAAAA==&#10;" strokecolor="#335a8a">
                    <v:stroke endarrow="open"/>
                  </v:shape>
                  <v:shape id="Łącznik prosty ze strzałką 37" o:spid="_x0000_s1201" type="#_x0000_t32" style="position:absolute;left:69692;top:12573;width:0;height:277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dD4cQAAADcAAAADwAAAGRycy9kb3ducmV2LnhtbESPQWvCQBSE70L/w/IKvemmBrVGV6mF&#10;FvEiSfX+zD6TYPZtyK4a/70rCB6HmfmGmS87U4sLta6yrOBzEIEgzq2uuFCw+//tf4FwHlljbZkU&#10;3MjBcvHWm2Oi7ZVTumS+EAHCLkEFpfdNIqXLSzLoBrYhDt7RtgZ9kG0hdYvXADe1HEbRWBqsOCyU&#10;2NBPSfkpOxsF8eTgVsf9aHguNvF2/WdXWTpOlfp4775nIDx1/hV+ttdawXQUw+NMOAJ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p0PhxAAAANwAAAAPAAAAAAAAAAAA&#10;AAAAAKECAABkcnMvZG93bnJldi54bWxQSwUGAAAAAAQABAD5AAAAkgMAAAAA&#10;" strokecolor="#335a8a">
                    <v:stroke endarrow="open"/>
                  </v:shape>
                  <v:shape id="Łącznik prosty ze strzałką 37" o:spid="_x0000_s1202" type="#_x0000_t32" style="position:absolute;left:86947;top:12574;width:0;height:277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7blcUAAADcAAAADwAAAGRycy9kb3ducmV2LnhtbESPT2vCQBTE7wW/w/IKvdVNY/0X3Ugt&#10;VMRLSdT7M/tMgtm3Ibtq+u27QqHHYWZ+wyxXvWnEjTpXW1bwNoxAEBdW11wqOOy/XmcgnEfW2Fgm&#10;BT/kYJUOnpaYaHvnjG65L0WAsEtQQeV9m0jpiooMuqFtiYN3tp1BH2RXSt3hPcBNI+MomkiDNYeF&#10;Clv6rKi45FejYDQ9ufX5OI6v5W70vd3YdZ5NMqVenvuPBQhPvf8P/7W3WsF8/A6PM+EIyPQ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07blcUAAADcAAAADwAAAAAAAAAA&#10;AAAAAAChAgAAZHJzL2Rvd25yZXYueG1sUEsFBgAAAAAEAAQA+QAAAJMDAAAAAA==&#10;" strokecolor="#335a8a">
                    <v:stroke endarrow="open"/>
                  </v:shape>
                  <v:rect id="Prostokąt 200" o:spid="_x0000_s1203" style="position:absolute;top:1773;width:8852;height:1080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HDvcMA&#10;AADcAAAADwAAAGRycy9kb3ducmV2LnhtbESP0WrCQBRE3wv+w3ILfWs2CoqmWaUGWqpvrn7AJXub&#10;RLN3Y3ar6d+7guDjMDNnmHw12FZcqPeNYwXjJAVBXDrTcKXgsP96n4PwAdlg65gU/JOH1XL0kmNm&#10;3JV3dNGhEhHCPkMFdQhdJqUva7LoE9cRR+/X9RZDlH0lTY/XCLetnKTpTFpsOC7U2FFRU3nSf1YB&#10;f5sNH/UR8bTb6vF6UjTnc6HU2+vw+QEi0BCe4Uf7xyhYTKdwPxOPgF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HDvcMAAADcAAAADwAAAAAAAAAAAAAAAACYAgAAZHJzL2Rv&#10;d25yZXYueG1sUEsFBgAAAAAEAAQA9QAAAIgDAAAAAA==&#10;" fillcolor="#76923c" stroked="f">
                    <v:textbox>
                      <w:txbxContent>
                        <w:p w:rsidR="00832320" w:rsidRPr="00056E84" w:rsidRDefault="00832320" w:rsidP="002B502A">
                          <w:pPr>
                            <w:pStyle w:val="NormalnyWeb"/>
                            <w:spacing w:before="0" w:beforeAutospacing="0" w:after="0" w:afterAutospacing="0" w:line="276" w:lineRule="auto"/>
                            <w:jc w:val="center"/>
                            <w:rPr>
                              <w:color w:val="FFFFFF"/>
                            </w:rPr>
                          </w:pPr>
                          <w:r w:rsidRPr="00056E84">
                            <w:rPr>
                              <w:rFonts w:ascii="Calibri" w:eastAsia="SimSun" w:hAnsi="Calibri"/>
                              <w:b/>
                              <w:bCs/>
                              <w:color w:val="FFFFFF"/>
                              <w:sz w:val="16"/>
                              <w:szCs w:val="16"/>
                            </w:rPr>
                            <w:t xml:space="preserve">cele szczegółowe </w:t>
                          </w:r>
                          <w:r>
                            <w:rPr>
                              <w:rFonts w:ascii="Calibri" w:eastAsia="SimSun" w:hAnsi="Calibri"/>
                              <w:b/>
                              <w:bCs/>
                              <w:color w:val="FFFFFF"/>
                              <w:sz w:val="16"/>
                              <w:szCs w:val="16"/>
                            </w:rPr>
                            <w:t>PI</w:t>
                          </w:r>
                        </w:p>
                      </w:txbxContent>
                    </v:textbox>
                  </v:rect>
                  <v:rect id="Prostokąt 201" o:spid="_x0000_s1204" style="position:absolute;top:15343;width:8852;height:284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SXMQA&#10;AADcAAAADwAAAGRycy9kb3ducmV2LnhtbESPzWrCQBSF94W+w3AL3dVJhKRtdCKiiN24ULvp7pq5&#10;ZoKZOyEzmvTtO4LQ5eH8fJz5YrStuFHvG8cK0kkCgrhyuuFawfdx8/YBwgdkja1jUvBLHhbl89Mc&#10;C+0G3tPtEGoRR9gXqMCE0BVS+sqQRT9xHXH0zq63GKLsa6l7HOK4beU0SXJpseFIMNjRylB1OVxt&#10;5Nbpabd99zs75NVPyMhss/VeqdeXcTkDEWgM/+FH+0sr+MxyuJ+JR0CW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PklzEAAAA3AAAAA8AAAAAAAAAAAAAAAAAmAIAAGRycy9k&#10;b3ducmV2LnhtbFBLBQYAAAAABAAEAPUAAACJAwAAAAA=&#10;" fillcolor="#366092" stroked="f">
                    <v:textbox>
                      <w:txbxContent>
                        <w:p w:rsidR="00832320" w:rsidRDefault="00832320" w:rsidP="002B502A">
                          <w:pPr>
                            <w:pStyle w:val="NormalnyWeb"/>
                            <w:spacing w:before="0" w:beforeAutospacing="0" w:after="0" w:afterAutospacing="0" w:line="276" w:lineRule="auto"/>
                            <w:jc w:val="center"/>
                          </w:pPr>
                          <w:r>
                            <w:rPr>
                              <w:rFonts w:ascii="Calibri" w:eastAsia="SimSun" w:hAnsi="Calibri"/>
                              <w:b/>
                              <w:bCs/>
                              <w:color w:val="FCFCFC"/>
                              <w:sz w:val="16"/>
                              <w:szCs w:val="16"/>
                            </w:rPr>
                            <w:t>typy projektów</w:t>
                          </w:r>
                        </w:p>
                      </w:txbxContent>
                    </v:textbox>
                  </v:rect>
                  <v:rect id="Prostokąt 2" o:spid="_x0000_s1205" style="position:absolute;left:62496;top:15344;width:14393;height:28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VxeMQA&#10;AADcAAAADwAAAGRycy9kb3ducmV2LnhtbESP0WrCQBRE3wv+w3IF3+pGpY1GV5GCIC0UjH7ANXtN&#10;gtm7cXcb4993CwUfh5k5w6w2vWlER87XlhVMxgkI4sLqmksFp+PudQ7CB2SNjWVS8CAPm/XgZYWZ&#10;tnc+UJeHUkQI+wwVVCG0mZS+qMigH9uWOHoX6wyGKF0ptcN7hJtGTpPkXRqsOS5U2NJHRcU1/zEK&#10;dt0tPZwn89n39CtcizT35D69UqNhv12CCNSHZ/i/vdcKFm8p/J2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FcXjEAAAA3AAAAA8AAAAAAAAAAAAAAAAAmAIAAGRycy9k&#10;b3ducmV2LnhtbFBLBQYAAAAABAAEAPUAAACJAwAAAAA=&#10;" fillcolor="#d1deee" stroked="f">
                    <v:textbox>
                      <w:txbxContent>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B96043">
                            <w:rPr>
                              <w:rFonts w:ascii="Calibri" w:hAnsi="Calibri"/>
                              <w:sz w:val="14"/>
                              <w:szCs w:val="14"/>
                            </w:rPr>
                            <w:t>dofinansowanie dziennej opieki poszpitalnej, długoterminowej opieki zdrowotnej, opieki paliatywnej i hospicyjnej.</w:t>
                          </w:r>
                        </w:p>
                        <w:p w:rsidR="00832320" w:rsidRDefault="00832320" w:rsidP="002B502A">
                          <w:pPr>
                            <w:pStyle w:val="NormalnyWeb"/>
                            <w:spacing w:before="0" w:beforeAutospacing="0" w:after="0" w:afterAutospacing="0"/>
                            <w:rPr>
                              <w:rFonts w:ascii="Calibri" w:hAnsi="Calibri"/>
                              <w:sz w:val="14"/>
                              <w:szCs w:val="14"/>
                            </w:rPr>
                          </w:pPr>
                          <w:r>
                            <w:rPr>
                              <w:rFonts w:ascii="Calibri" w:hAnsi="Calibri"/>
                              <w:sz w:val="14"/>
                              <w:szCs w:val="14"/>
                            </w:rPr>
                            <w:t xml:space="preserve">-  </w:t>
                          </w:r>
                          <w:r w:rsidRPr="00776CAB">
                            <w:rPr>
                              <w:rFonts w:ascii="Calibri" w:hAnsi="Calibri"/>
                              <w:sz w:val="14"/>
                              <w:szCs w:val="14"/>
                            </w:rPr>
                            <w:t>programy wczesnego wykrywania wad rozwojowych i rehabilitacja dzieci niepełnosprawnych,</w:t>
                          </w:r>
                        </w:p>
                        <w:p w:rsidR="00832320" w:rsidRDefault="00832320" w:rsidP="002B502A">
                          <w:pPr>
                            <w:pStyle w:val="NormalnyWeb"/>
                            <w:spacing w:before="0" w:beforeAutospacing="0" w:after="0" w:afterAutospacing="0"/>
                          </w:pPr>
                          <w:r>
                            <w:rPr>
                              <w:rFonts w:ascii="Calibri" w:hAnsi="Calibri"/>
                              <w:sz w:val="14"/>
                              <w:szCs w:val="14"/>
                            </w:rPr>
                            <w:t xml:space="preserve">- </w:t>
                          </w:r>
                          <w:r w:rsidRPr="00776CAB">
                            <w:rPr>
                              <w:rFonts w:ascii="Calibri" w:hAnsi="Calibri"/>
                              <w:sz w:val="14"/>
                              <w:szCs w:val="14"/>
                            </w:rPr>
                            <w:t xml:space="preserve">programy i działania zmierzające do podniesienia świadomości zdrowotnej kobiet będących w ciąży </w:t>
                          </w:r>
                          <w:r>
                            <w:rPr>
                              <w:rFonts w:ascii="Calibri" w:hAnsi="Calibri"/>
                              <w:sz w:val="14"/>
                              <w:szCs w:val="14"/>
                            </w:rPr>
                            <w:t>oraz</w:t>
                          </w:r>
                          <w:r w:rsidRPr="00776CAB">
                            <w:rPr>
                              <w:rFonts w:ascii="Calibri" w:hAnsi="Calibri"/>
                              <w:sz w:val="14"/>
                              <w:szCs w:val="14"/>
                            </w:rPr>
                            <w:t xml:space="preserve"> matek</w:t>
                          </w:r>
                        </w:p>
                      </w:txbxContent>
                    </v:textbox>
                  </v:rect>
                  <w10:wrap type="none"/>
                  <w10:anchorlock/>
                </v:group>
              </w:pict>
            </w:r>
          </w:p>
        </w:tc>
      </w:tr>
    </w:tbl>
    <w:p w:rsidR="002B502A" w:rsidRPr="00424449" w:rsidRDefault="002B502A" w:rsidP="002B502A">
      <w:pPr>
        <w:jc w:val="center"/>
        <w:rPr>
          <w:i/>
        </w:rPr>
      </w:pPr>
      <w:r w:rsidRPr="00424449">
        <w:rPr>
          <w:i/>
        </w:rPr>
        <w:t>Źródło: Opracowanie własne.</w:t>
      </w:r>
    </w:p>
    <w:p w:rsidR="00424449" w:rsidRDefault="00424449" w:rsidP="00424449">
      <w:pPr>
        <w:sectPr w:rsidR="00424449" w:rsidSect="00607AE2">
          <w:pgSz w:w="16838" w:h="11906" w:orient="landscape"/>
          <w:pgMar w:top="1985" w:right="1418" w:bottom="1418" w:left="1418" w:header="708" w:footer="708" w:gutter="0"/>
          <w:cols w:space="708"/>
          <w:docGrid w:linePitch="360"/>
        </w:sectPr>
      </w:pPr>
    </w:p>
    <w:p w:rsidR="00424449" w:rsidRDefault="00424449" w:rsidP="00424449">
      <w:pPr>
        <w:pStyle w:val="Nagwek4"/>
      </w:pPr>
      <w:r w:rsidRPr="00B16950">
        <w:lastRenderedPageBreak/>
        <w:t>9.4 Aktywne włączenie, w tym z myślą o promowaniu równych szans oraz aktywnego uczestnictwa i</w:t>
      </w:r>
      <w:r w:rsidR="002F7C58">
        <w:t> </w:t>
      </w:r>
      <w:r w:rsidRPr="00B16950">
        <w:t xml:space="preserve"> zwiększaniu szans na zatrudnienie</w:t>
      </w:r>
    </w:p>
    <w:p w:rsidR="00424449" w:rsidRPr="0093333D" w:rsidRDefault="00424449" w:rsidP="000B3173">
      <w:pPr>
        <w:spacing w:before="240"/>
      </w:pPr>
      <w:r>
        <w:t>Dla</w:t>
      </w:r>
      <w:r w:rsidRPr="00020A8A">
        <w:t xml:space="preserve"> priorytetu 9.4 </w:t>
      </w:r>
      <w:r>
        <w:t>wybrano</w:t>
      </w:r>
      <w:r w:rsidRPr="00020A8A">
        <w:t xml:space="preserve"> cel szczegółowy: </w:t>
      </w:r>
      <w:r w:rsidRPr="00020A8A">
        <w:rPr>
          <w:i/>
          <w:iCs/>
        </w:rPr>
        <w:t>Wzrost aktywności społecznej i zawodowej oraz samodzielności osób będących w szczególnie niekorzystnej sytuacji społecznej i zawod</w:t>
      </w:r>
      <w:r w:rsidRPr="00020A8A">
        <w:t xml:space="preserve">owej. Jest on trafny i </w:t>
      </w:r>
      <w:r w:rsidRPr="0093333D">
        <w:t>uzasadniony w diagnozie przedstawionej w sekcji 1 programu. Jest też spójny z zawartością opisu priorytetu</w:t>
      </w:r>
      <w:r>
        <w:t xml:space="preserve">. Określono go wystarczająco </w:t>
      </w:r>
      <w:r w:rsidRPr="0093333D">
        <w:t>precyzyjnie</w:t>
      </w:r>
      <w:r>
        <w:t>, a jego uszczegółowienie stanowi wskaźnik rezultatu</w:t>
      </w:r>
      <w:r w:rsidRPr="0093333D">
        <w:t>.</w:t>
      </w:r>
    </w:p>
    <w:p w:rsidR="00424449" w:rsidRDefault="00424449" w:rsidP="00424449">
      <w:r w:rsidRPr="002D0152">
        <w:t>Zakres interwencji w PI jest prawidłowy. Zgodnie z przedstawioną logiką interwencji, wyprowadzenie</w:t>
      </w:r>
      <w:r w:rsidRPr="0093333D">
        <w:t xml:space="preserve"> na rynek pracy osób ubogich i wykluczonych społecznie wymaga </w:t>
      </w:r>
      <w:r>
        <w:t xml:space="preserve">złożonych działań: zarówno kompleksowych, jak i zindywidualizowanych. </w:t>
      </w:r>
      <w:r w:rsidRPr="002D0152">
        <w:t xml:space="preserve">Słusznie podkreślono konieczność świadczenie pomocy o charakterze „ścieżki wsparcia” zamiast </w:t>
      </w:r>
      <w:r>
        <w:t>pomocy</w:t>
      </w:r>
      <w:r w:rsidRPr="002D0152">
        <w:t xml:space="preserve"> „punktow</w:t>
      </w:r>
      <w:r>
        <w:t>ej</w:t>
      </w:r>
      <w:r w:rsidRPr="002D0152">
        <w:t>”.</w:t>
      </w:r>
      <w:r>
        <w:t xml:space="preserve"> Co więcej, interwencja zakłada wspieranie jednostki, ale nie w oderwaniu od jej sytuacji rodzinnej. </w:t>
      </w:r>
    </w:p>
    <w:p w:rsidR="00424449" w:rsidRDefault="00424449" w:rsidP="00424449">
      <w:r w:rsidRPr="002D0152">
        <w:t xml:space="preserve">Kluczem do </w:t>
      </w:r>
      <w:r>
        <w:t>skuteczności</w:t>
      </w:r>
      <w:r w:rsidRPr="002D0152">
        <w:t xml:space="preserve"> działań na rzecz integracji społecznej jest też efektywna współpraca międzyinstytucjonalna. Brak koordynacji pomiędzy służbami społecznymi, służbami zatrudnienia, organizacjami pozarządowymi oraz ośrodkami edukacyjnymi jest wskazywana jako największa słabość polskiej polityki społecznej.</w:t>
      </w:r>
      <w:r w:rsidRPr="002D0152">
        <w:rPr>
          <w:vertAlign w:val="superscript"/>
        </w:rPr>
        <w:footnoteReference w:id="87"/>
      </w:r>
      <w:r w:rsidRPr="002D0152">
        <w:t xml:space="preserve"> Pozytywnie oceniamy uwzględnienie tej kwestii w logice interwencji, jak również włączenie w to działanie podmiotów ekonomii społecznej o charakterze integracyjnym (CIS, KIS, ZAZ, WTZ). </w:t>
      </w:r>
    </w:p>
    <w:p w:rsidR="00424449" w:rsidRPr="00AB0476" w:rsidRDefault="00424449" w:rsidP="00424449">
      <w:pPr>
        <w:rPr>
          <w:highlight w:val="red"/>
        </w:rPr>
      </w:pPr>
      <w:r w:rsidRPr="002D0152">
        <w:t>Ewaluacje podobnych działań realizowanych w kończącym się okresie programowania wykazały, że powiatowe urzędy pracy oraz organizacje pozarządowe mają kompetencje do prowadzenia aktywizacji społeczno-zawodowej.</w:t>
      </w:r>
      <w:r w:rsidRPr="002D0152">
        <w:rPr>
          <w:vertAlign w:val="superscript"/>
        </w:rPr>
        <w:footnoteReference w:id="88"/>
      </w:r>
      <w:r w:rsidRPr="002D0152">
        <w:t xml:space="preserve"> W szczególności dotyczy to działań związanych ze zmianą lub podnoszeniem kwalifikacji. Rolą instytucji pomocy społecznej powinna być integracja i socjalizacja do podjęcia zatrudnienia, a także pomoc w rozwiązywaniu problemów utrudniających </w:t>
      </w:r>
      <w:r>
        <w:t>znalezienie etatu</w:t>
      </w:r>
      <w:r w:rsidRPr="002D0152">
        <w:t>. Wstępna socjalizacja do pracy powinna odbywać się poprzez integrację w społeczności lokalnej</w:t>
      </w:r>
      <w:r w:rsidRPr="002D0152">
        <w:rPr>
          <w:vertAlign w:val="superscript"/>
        </w:rPr>
        <w:footnoteReference w:id="89"/>
      </w:r>
      <w:r w:rsidRPr="002D0152">
        <w:t>, a</w:t>
      </w:r>
      <w:r w:rsidR="002F7C58">
        <w:t> </w:t>
      </w:r>
      <w:r w:rsidRPr="002D0152">
        <w:t xml:space="preserve"> wsparcie typowo prozatrudnieniowe powinno być domeną wyspecjalizowanych instytucji, przy ścisłej współpracy ze służbami społecznymi. </w:t>
      </w:r>
      <w:r>
        <w:t>Te założenia znajdują swoje odzwierciedlenie w opisie PI 9.4. Dzięki temu zaplanowana interwencja będzie mogła skutecznie wspomóc aktywizacje osób w</w:t>
      </w:r>
      <w:r w:rsidR="002F7C58">
        <w:t> </w:t>
      </w:r>
      <w:r>
        <w:t xml:space="preserve"> najtrudniejszej sytuacji na rynku pracy.</w:t>
      </w:r>
    </w:p>
    <w:p w:rsidR="00424449" w:rsidRDefault="00424449" w:rsidP="00424449">
      <w:pPr>
        <w:rPr>
          <w:highlight w:val="red"/>
        </w:rPr>
      </w:pPr>
    </w:p>
    <w:p w:rsidR="00424449" w:rsidRPr="002D0152" w:rsidRDefault="00424449" w:rsidP="00424449">
      <w:r>
        <w:lastRenderedPageBreak/>
        <w:t>Z</w:t>
      </w:r>
      <w:r w:rsidRPr="002D0152">
        <w:t>godnie z wynikami ewaluacji dotyczącej realizacji</w:t>
      </w:r>
      <w:r>
        <w:t xml:space="preserve"> działań w Priorytecie</w:t>
      </w:r>
      <w:r w:rsidRPr="002D0152">
        <w:t xml:space="preserve"> VII PO KL</w:t>
      </w:r>
      <w:r w:rsidRPr="002D0152">
        <w:rPr>
          <w:rStyle w:val="Odwoanieprzypisudolnego"/>
        </w:rPr>
        <w:footnoteReference w:id="90"/>
      </w:r>
      <w:r w:rsidRPr="002D0152">
        <w:t xml:space="preserve">, </w:t>
      </w:r>
      <w:r>
        <w:t xml:space="preserve">warto na etapie wdrażania interwencji zwrócić uwagę na </w:t>
      </w:r>
      <w:r w:rsidRPr="002D0152">
        <w:t xml:space="preserve">spełnienie kilku warunków dla </w:t>
      </w:r>
      <w:r>
        <w:t xml:space="preserve">poprawy </w:t>
      </w:r>
      <w:r w:rsidRPr="002D0152">
        <w:t>skuteczności:</w:t>
      </w:r>
    </w:p>
    <w:p w:rsidR="00424449" w:rsidRPr="002D0152" w:rsidRDefault="00424449" w:rsidP="000965A8">
      <w:pPr>
        <w:pStyle w:val="Akapitzlist"/>
        <w:numPr>
          <w:ilvl w:val="0"/>
          <w:numId w:val="18"/>
        </w:numPr>
      </w:pPr>
      <w:r>
        <w:t>Ważne jest d</w:t>
      </w:r>
      <w:r w:rsidRPr="002D0152">
        <w:t>okonanie solidnej diagnozy przed rozpoczęciem wsparcia dla konkretnej osoby. W tym kontekście należy położyć nacisk na lepsze wykorzystanie m.in. kontraktów socjalnych. Raport NIK poświęcony temu zagadnieniu podkreśla wiele problemów ze stosowaniem tego instrumentu, co prowadzi do zdecydowan</w:t>
      </w:r>
      <w:r w:rsidR="002B502A">
        <w:t>ego spadku jego skuteczności (z </w:t>
      </w:r>
      <w:r w:rsidRPr="002D0152">
        <w:t>ponad 30% do 15%)</w:t>
      </w:r>
      <w:r w:rsidRPr="002D0152">
        <w:rPr>
          <w:rStyle w:val="Odwoanieprzypisudolnego"/>
        </w:rPr>
        <w:footnoteReference w:id="91"/>
      </w:r>
      <w:r w:rsidRPr="002D0152">
        <w:t>;</w:t>
      </w:r>
    </w:p>
    <w:p w:rsidR="00424449" w:rsidRPr="002D0152" w:rsidRDefault="00424449" w:rsidP="000965A8">
      <w:pPr>
        <w:pStyle w:val="Akapitzlist"/>
        <w:numPr>
          <w:ilvl w:val="0"/>
          <w:numId w:val="18"/>
        </w:numPr>
      </w:pPr>
      <w:r w:rsidRPr="002D0152">
        <w:t>Działania z zakresu integracji społecznej i edukacyjne</w:t>
      </w:r>
      <w:r w:rsidR="002B502A">
        <w:t>j powinny poprzedzać wsparcie z </w:t>
      </w:r>
      <w:r w:rsidRPr="002D0152">
        <w:t>zakresu integracji zawodowej;</w:t>
      </w:r>
    </w:p>
    <w:p w:rsidR="00424449" w:rsidRPr="002D0152" w:rsidRDefault="00424449" w:rsidP="000965A8">
      <w:pPr>
        <w:pStyle w:val="Akapitzlist"/>
        <w:numPr>
          <w:ilvl w:val="0"/>
          <w:numId w:val="18"/>
        </w:numPr>
      </w:pPr>
      <w:r w:rsidRPr="002D0152">
        <w:t xml:space="preserve">Długość wsparcia powinna być dopasowana do sytuacji odbiorcy.; </w:t>
      </w:r>
    </w:p>
    <w:p w:rsidR="00424449" w:rsidRPr="00157931" w:rsidRDefault="00424449" w:rsidP="000965A8">
      <w:pPr>
        <w:pStyle w:val="Akapitzlist"/>
        <w:numPr>
          <w:ilvl w:val="0"/>
          <w:numId w:val="18"/>
        </w:numPr>
      </w:pPr>
      <w:r w:rsidRPr="002D0152">
        <w:t xml:space="preserve">W zakresie integracji zawodowej </w:t>
      </w:r>
      <w:r>
        <w:t>sugerowane jest</w:t>
      </w:r>
      <w:r w:rsidRPr="002D0152">
        <w:t xml:space="preserve"> wzmocnienie autentycznej i aktywnej współpracy z urzędami pracy, które mają w swojej ofercie instrumenty umożliwiające </w:t>
      </w:r>
      <w:r w:rsidRPr="00157931">
        <w:t xml:space="preserve">nabycie konkretnych umiejętności zawodowych. </w:t>
      </w:r>
    </w:p>
    <w:p w:rsidR="00424449" w:rsidRPr="00157931" w:rsidRDefault="00424449" w:rsidP="00424449">
      <w:r w:rsidRPr="00157931">
        <w:t>Dodatkowo rekomenduje się w dokumentach niższego rzędu klarowne wyjaśnieni</w:t>
      </w:r>
      <w:r>
        <w:t xml:space="preserve">e </w:t>
      </w:r>
      <w:r w:rsidRPr="00157931">
        <w:t>koncepcj</w:t>
      </w:r>
      <w:r>
        <w:t>i</w:t>
      </w:r>
      <w:r w:rsidRPr="00157931">
        <w:t xml:space="preserve"> działań prewencyjnych wobec patologii społecznych. </w:t>
      </w:r>
    </w:p>
    <w:p w:rsidR="00424449" w:rsidRPr="00157931" w:rsidRDefault="00424449" w:rsidP="00424449">
      <w:pPr>
        <w:pStyle w:val="Nagwek4"/>
      </w:pPr>
      <w:r w:rsidRPr="00157931">
        <w:t>9.7 Ułatwianie dostępu do przystępnych cenowo, trwałych oraz wysokiej jakości usług, w tym opieki zdrowotnej i usług socjalnych świadczonych w interesie ogólnym</w:t>
      </w:r>
    </w:p>
    <w:p w:rsidR="00424449" w:rsidRPr="00157931" w:rsidRDefault="00424449" w:rsidP="00424449">
      <w:r w:rsidRPr="00157931">
        <w:t xml:space="preserve">Dla priorytetu 9.7 zaproponowano dwa cele szczegółowe: </w:t>
      </w:r>
    </w:p>
    <w:p w:rsidR="00424449" w:rsidRPr="00157931" w:rsidRDefault="00424449" w:rsidP="000965A8">
      <w:pPr>
        <w:pStyle w:val="Akapitzlist"/>
        <w:numPr>
          <w:ilvl w:val="0"/>
          <w:numId w:val="17"/>
        </w:numPr>
        <w:rPr>
          <w:i/>
        </w:rPr>
      </w:pPr>
      <w:r w:rsidRPr="00157931">
        <w:rPr>
          <w:i/>
        </w:rPr>
        <w:t>Zwiększenie liczby osób korzystających z wysokiej jakości usług społecznych</w:t>
      </w:r>
      <w:r w:rsidR="002B502A">
        <w:rPr>
          <w:i/>
        </w:rPr>
        <w:t>;</w:t>
      </w:r>
    </w:p>
    <w:p w:rsidR="00424449" w:rsidRPr="00157931" w:rsidRDefault="00424449" w:rsidP="000965A8">
      <w:pPr>
        <w:pStyle w:val="Akapitzlist"/>
        <w:numPr>
          <w:ilvl w:val="0"/>
          <w:numId w:val="17"/>
        </w:numPr>
        <w:rPr>
          <w:i/>
        </w:rPr>
      </w:pPr>
      <w:r w:rsidRPr="00157931">
        <w:rPr>
          <w:i/>
        </w:rPr>
        <w:t>Zwiększenie liczby osób korzystających z wysokiej jakości usług zdrowotnych</w:t>
      </w:r>
      <w:r w:rsidR="002B502A">
        <w:rPr>
          <w:i/>
        </w:rPr>
        <w:t>.</w:t>
      </w:r>
    </w:p>
    <w:p w:rsidR="00424449" w:rsidRPr="00ED4F34" w:rsidRDefault="00424449" w:rsidP="00424449">
      <w:r w:rsidRPr="00ED4F34">
        <w:t>Pierwszy z proponowanych celów jest spójny z diagnozą przedstawioną w sekcji 1.1 RPO WP 2014-2020, co pozwala uznać go za trafny. Sformułowanie drugiego celu także jest spójne z diagnozą sytuacji, gdzie wskazano specyficzne cechy i potrzeb regionu</w:t>
      </w:r>
      <w:r>
        <w:t>,</w:t>
      </w:r>
      <w:r w:rsidRPr="00ED4F34">
        <w:t xml:space="preserve"> uzasadniające potrzebę interwencji w obszarze usług zdrowotnych. Oba </w:t>
      </w:r>
      <w:r>
        <w:t xml:space="preserve">cele </w:t>
      </w:r>
      <w:r w:rsidRPr="00ED4F34">
        <w:t xml:space="preserve">zostały zapisane precyzyjnie, w formie efektów a nie działań, co jest zgodne zasadami konstrukcji celów. </w:t>
      </w:r>
    </w:p>
    <w:p w:rsidR="00424449" w:rsidRDefault="00424449" w:rsidP="00424449">
      <w:r>
        <w:t xml:space="preserve">Interwencja w ramach priorytetu koncentruje się na usługach społecznych, kierowanych głównie do rodzin, w tym </w:t>
      </w:r>
      <w:r w:rsidRPr="00ED4F34">
        <w:t xml:space="preserve">dzieci i osób zależnych (starszych, niepełnosprawnych i </w:t>
      </w:r>
      <w:r w:rsidRPr="0090250B">
        <w:t xml:space="preserve">chorych).W przypadku wsparcia dla rodziny </w:t>
      </w:r>
      <w:r>
        <w:t xml:space="preserve">przewidziano pomoc kierowaną </w:t>
      </w:r>
      <w:r w:rsidRPr="0090250B">
        <w:t>bezpośrednio</w:t>
      </w:r>
      <w:r>
        <w:t xml:space="preserve"> do</w:t>
      </w:r>
      <w:r w:rsidRPr="0090250B">
        <w:t xml:space="preserve"> jej członków dzięki usługom asystentów rodzinnych, rodzin wspierających, świetlic środowiskowych oraz placówek wsparcia dziennego. </w:t>
      </w:r>
      <w:r>
        <w:t>Dostępne dane pokazują na duży deficyt tego typu placówek. Np. świetlice środowiskowe prowadzi zaledwie 21% OPS i 17% PCPR.</w:t>
      </w:r>
      <w:r>
        <w:rPr>
          <w:rStyle w:val="Odwoanieprzypisudolnego"/>
        </w:rPr>
        <w:footnoteReference w:id="92"/>
      </w:r>
    </w:p>
    <w:p w:rsidR="00424449" w:rsidRDefault="00424449" w:rsidP="00424449">
      <w:r>
        <w:t>Elementem uzupełniającym dla tej części interwencji jest wsparcie dla osób z rodzin zastępczych i</w:t>
      </w:r>
      <w:r w:rsidR="002F7C58">
        <w:t> </w:t>
      </w:r>
      <w:r>
        <w:t xml:space="preserve"> sprawujących pieczę zastępczą. Jest to podejście zgodne z nurtem wspierania środowiskowych usług </w:t>
      </w:r>
      <w:r>
        <w:lastRenderedPageBreak/>
        <w:t>społecznych. Z drugiej strony wyniki badań pokazują, że zbyt dużo dzieci trafia do rodzin zastępczych, co jest efektem niedostatecznego wsparcia samej rodziny.</w:t>
      </w:r>
      <w:r>
        <w:rPr>
          <w:rStyle w:val="Odwoanieprzypisudolnego"/>
        </w:rPr>
        <w:footnoteReference w:id="93"/>
      </w:r>
    </w:p>
    <w:p w:rsidR="00424449" w:rsidRDefault="00424449" w:rsidP="00424449">
      <w:r>
        <w:t xml:space="preserve">Zakres interwencji jest jednak znacznie szerszy i próbuje odpowiedzieć na wiele zdiagnozowanych deficytów związanych z dostępem do usług społecznych. Choć wszystkie one są potrzebne, to jednak przy dostępnej alokacji nie ma możliwości zaspokojenia wszystkich potrzeb. Dlatego też, na etapie wdrażania programu, po przeprowadzeniu bardziej pogłębionych badań, wskazane jest silniejsze skoncentrowanie wsparcia na rodzinach doświadczających różnorodnych trudności. </w:t>
      </w:r>
    </w:p>
    <w:p w:rsidR="00424449" w:rsidRDefault="00424449" w:rsidP="00424449">
      <w:r w:rsidRPr="0090250B">
        <w:t>Wsparcie w o</w:t>
      </w:r>
      <w:r>
        <w:t>b</w:t>
      </w:r>
      <w:r w:rsidRPr="0090250B">
        <w:t xml:space="preserve">szarze usług zdrowotnych </w:t>
      </w:r>
      <w:r>
        <w:t>określono precyzyjnie, wybierając do dofinansowania między innymi inicjatywy związane z zapewnieniem opieki dla osób zależnych (opieka poszpitalna, długoterminowa, paliatywna, hospicyjna). Tego typu interwencja jest uzasadniona, biorąc pod uwagę ograniczoną dostępność opieki długoterminowej, a także wzrastający popyt na nią, wynikający ze starzenia się społeczeństwa. Usługi opieki długoterminowej pozwolą również na poprawę efektywności systemu ochrony zdrowia, a także mogą mieć pozytywny wpływ na możliwość podjęcia pracy przez opiekunów osób zależnych. Należy również podkreślić, że sektor usług opiekuńczych jest jednym z szybciej rozwijających się branż gospodarki i w przyszłości może dostarczać dużej liczby nowych miejsc pracy.</w:t>
      </w:r>
      <w:r>
        <w:rPr>
          <w:rStyle w:val="Odwoanieprzypisudolnego"/>
        </w:rPr>
        <w:footnoteReference w:id="94"/>
      </w:r>
    </w:p>
    <w:p w:rsidR="00424449" w:rsidRPr="0090250B" w:rsidRDefault="00424449" w:rsidP="00424449">
      <w:r>
        <w:t>W obszarze usług zdrowotnych do interwencji włączono również poprawę dostępu do opieki psychologicznej i psychiatrycznej, a także programy wczesnego wykrywania wad rozwojowych i</w:t>
      </w:r>
      <w:r w:rsidR="002F7C58">
        <w:t> </w:t>
      </w:r>
      <w:r>
        <w:t xml:space="preserve"> rehabilitacji dzieci niepełnosprawnych. Taki wybór jest silnie uzasadniony w kontekście przedstawionych w diagnozie deficytów. Potrzeby w tym zakresie potwierdzają wyniki badań. Przykładowo, starsi Polacy znacznie częściej niż przeciętnie w Europie doświadczają zaburzeń psychicznych, przy równoczesnym znacznie rzadszym niż w Europie korzystaniu ze wsparcia.</w:t>
      </w:r>
      <w:r>
        <w:rPr>
          <w:rStyle w:val="Odwoanieprzypisudolnego"/>
        </w:rPr>
        <w:footnoteReference w:id="95"/>
      </w:r>
    </w:p>
    <w:p w:rsidR="00424449" w:rsidRPr="008B3B18" w:rsidRDefault="00424449" w:rsidP="00424449">
      <w:r>
        <w:t xml:space="preserve">Aby wsparcie było realizowane także po ustaniu finansowania z EFS, sugeruje się </w:t>
      </w:r>
      <w:r w:rsidRPr="008B3B18">
        <w:t xml:space="preserve">poszukiwanie </w:t>
      </w:r>
      <w:r>
        <w:t>sposobów</w:t>
      </w:r>
      <w:r w:rsidRPr="008B3B18">
        <w:t xml:space="preserve"> zapewniana trwałość tworzonych rozwiązań. Uwzględnienie ich </w:t>
      </w:r>
      <w:r>
        <w:t xml:space="preserve">może np. </w:t>
      </w:r>
      <w:r w:rsidRPr="008B3B18">
        <w:t>być premiowane na etapie wyboru projektów.</w:t>
      </w:r>
    </w:p>
    <w:p w:rsidR="00424449" w:rsidRPr="00F540DD" w:rsidRDefault="00424449" w:rsidP="00424449">
      <w:r w:rsidRPr="00F540DD">
        <w:rPr>
          <w:rFonts w:asciiTheme="majorHAnsi" w:eastAsiaTheme="majorEastAsia" w:hAnsiTheme="majorHAnsi" w:cstheme="majorBidi"/>
          <w:b/>
          <w:bCs/>
          <w:i/>
          <w:iCs/>
          <w:color w:val="366092" w:themeColor="accent1"/>
        </w:rPr>
        <w:t>9.8 Wspieranie przedsiębiorczości społecznej i integracji zawodowej w przedsiębiorstwach społecznych oraz ekonomii społecznej i solidarnej w celu ułatwienia dostępu do zatrudnienia</w:t>
      </w:r>
    </w:p>
    <w:p w:rsidR="00424449" w:rsidRPr="004F6553" w:rsidRDefault="00424449" w:rsidP="00424449">
      <w:r w:rsidRPr="00F540DD">
        <w:t xml:space="preserve">W zakresie priorytetu 9.8 obrano cel szczegółowy: </w:t>
      </w:r>
      <w:r w:rsidRPr="00F540DD">
        <w:rPr>
          <w:i/>
          <w:iCs/>
        </w:rPr>
        <w:t xml:space="preserve">Wzmocnienie roli podmiotów ekonomii społecznej w aktywizacji osób w niekorzystnej sytuacji oraz w dostarczaniu usług </w:t>
      </w:r>
      <w:r w:rsidR="002B502A">
        <w:rPr>
          <w:i/>
          <w:iCs/>
        </w:rPr>
        <w:t>użyteczności społecznej w </w:t>
      </w:r>
      <w:r w:rsidRPr="004F6553">
        <w:rPr>
          <w:i/>
          <w:iCs/>
        </w:rPr>
        <w:t>regionie</w:t>
      </w:r>
      <w:r w:rsidRPr="004F6553">
        <w:t xml:space="preserve">. Jest on trafny, co potwierdza uzasadnienie zawarte w diagnozie w sekcji 1 programu. </w:t>
      </w:r>
    </w:p>
    <w:p w:rsidR="00424449" w:rsidRPr="004F6553" w:rsidRDefault="00424449" w:rsidP="00424449">
      <w:r w:rsidRPr="004F6553">
        <w:t xml:space="preserve">Interwencja w tym PI koncentruje się na rozwoju sektora ekonomii społecznej, wspieranego przez popularyzację działających podmiotów (zwiększenie rozpoznawalności). Ostatecznym efektem tych działań mają być miejsca pracy wytworzone w sektorze (ujęte we wskaźniku rezultatu) oraz usługi </w:t>
      </w:r>
      <w:r w:rsidRPr="004F6553">
        <w:lastRenderedPageBreak/>
        <w:t>społeczne świadczone przez wsparte podmioty.</w:t>
      </w:r>
      <w:r>
        <w:t xml:space="preserve"> Zatem efekty interwencji przedstawione są w</w:t>
      </w:r>
      <w:r w:rsidR="002F7C58">
        <w:t> </w:t>
      </w:r>
      <w:r>
        <w:t xml:space="preserve"> kategoriach korzyści społecznych. </w:t>
      </w:r>
    </w:p>
    <w:p w:rsidR="00424449" w:rsidRPr="00895FF9" w:rsidRDefault="00424449" w:rsidP="00424449">
      <w:r w:rsidRPr="00B75447">
        <w:t xml:space="preserve">Osią rozwoju sektora mają być ośrodki wsparcia ekonomii społecznej. W programie określono zakres ich działania (animacja, inkubacja, wsparcie istniejących przedsiębiorstw). </w:t>
      </w:r>
      <w:r>
        <w:t>Jest to słuszne podejście. Doświadczenia polskie, ale również międzynarodowe, pokazują jednoznacznie, że rozwój ekonomii społecznej wymaga wyspecjalizowanych ośrodków wsparcia.</w:t>
      </w:r>
      <w:r>
        <w:rPr>
          <w:rStyle w:val="Odwoanieprzypisudolnego"/>
        </w:rPr>
        <w:footnoteReference w:id="96"/>
      </w:r>
      <w:r w:rsidRPr="009B4D28">
        <w:t xml:space="preserve">Jednym z kryteriów powodzenia interwencji jest zbudowanie trwałej, profesjonalnej i równomiernie rozmieszczonej w województwie sieci ośrodków wsparcia, co wymaga bazowania na istniejącym potencjale. Za słuszny należy uznać pomysł tworzenia lokalnych partnerstw  ekonomii społecznej, co także może przyczynić się do większej stabilności sektora i umocnienia jego pozycji, osiągnięcia korzyści skali prowadzonych </w:t>
      </w:r>
      <w:r w:rsidRPr="00895FF9">
        <w:t>działań czy pozyskiwanych klientów.</w:t>
      </w:r>
    </w:p>
    <w:p w:rsidR="00424449" w:rsidRPr="00AB0476" w:rsidRDefault="00424449" w:rsidP="00424449">
      <w:pPr>
        <w:rPr>
          <w:highlight w:val="red"/>
        </w:rPr>
      </w:pPr>
      <w:r w:rsidRPr="00B75447">
        <w:t>Autorzy programu, podążając za rekomendacjami z ostatnich badań dotyczących wsparcia ekonomii społecznej, nie skoncentrowali interwencji na jednej tylko formie PES.</w:t>
      </w:r>
      <w:r>
        <w:rPr>
          <w:rStyle w:val="Odwoanieprzypisudolnego"/>
        </w:rPr>
        <w:footnoteReference w:id="97"/>
      </w:r>
      <w:r w:rsidRPr="00B75447">
        <w:t>Dzięki temu zagwarantowano pluralizmu form przedsiębiorstw społecznych – czyli wspieranie zarówno spółdzielni socjalnych, jak i</w:t>
      </w:r>
      <w:r w:rsidR="002F7C58">
        <w:t> </w:t>
      </w:r>
      <w:r w:rsidRPr="00B75447">
        <w:t xml:space="preserve"> np. spółek czy organizacji pozarządowych. </w:t>
      </w:r>
    </w:p>
    <w:p w:rsidR="00424449" w:rsidRDefault="00424449" w:rsidP="00424449">
      <w:r w:rsidRPr="009B4D28">
        <w:t>W kontekście niskiej trwałości i efektywności zatrudnieniowej dotychczas powstałych podmiotów</w:t>
      </w:r>
      <w:r>
        <w:rPr>
          <w:rStyle w:val="Odwoanieprzypisudolnego"/>
        </w:rPr>
        <w:footnoteReference w:id="98"/>
      </w:r>
      <w:r w:rsidRPr="009B4D28">
        <w:t xml:space="preserve"> ekonomii społecznej za trafne </w:t>
      </w:r>
      <w:r>
        <w:t>oceniono</w:t>
      </w:r>
      <w:r w:rsidRPr="009B4D28">
        <w:t xml:space="preserve"> wskazanie w opisie PI koniecznoś</w:t>
      </w:r>
      <w:r>
        <w:t>ci</w:t>
      </w:r>
      <w:r w:rsidRPr="009B4D28">
        <w:t xml:space="preserve"> zbudowania warunków gwarantujących rozwój ekonomiczny podmiotów. </w:t>
      </w:r>
    </w:p>
    <w:p w:rsidR="00424449" w:rsidRPr="00895FF9" w:rsidRDefault="00424449" w:rsidP="00424449">
      <w:r w:rsidRPr="00895FF9">
        <w:t>Aby usprawnić realizację wsparcia proponuje się uwzględnić w dokumentach wykonawczych następujące kwestie.</w:t>
      </w:r>
    </w:p>
    <w:p w:rsidR="00424449" w:rsidRPr="00895FF9" w:rsidRDefault="00424449" w:rsidP="000965A8">
      <w:pPr>
        <w:numPr>
          <w:ilvl w:val="0"/>
          <w:numId w:val="19"/>
        </w:numPr>
      </w:pPr>
      <w:r>
        <w:t xml:space="preserve">Warto rozważyć, jak w planowanej interwencji wspierać </w:t>
      </w:r>
      <w:r w:rsidRPr="00895FF9">
        <w:t>także tworzenia rynku zbytu dla przedsiębiorstw społecznych poprzez współpracą JST i zlecanie im usług pożytku publicznego, oraz zwiększenia zasięgu/skali działalności przez lokalne partnerstwa przedsiębiorstw (nie tylko społecznych);</w:t>
      </w:r>
      <w:r>
        <w:t xml:space="preserve"> Pewne rozważania na ten temat zawarto w programie, ale sugerowane jest ich uszczegółowienie.</w:t>
      </w:r>
    </w:p>
    <w:p w:rsidR="00424449" w:rsidRDefault="00424449" w:rsidP="000965A8">
      <w:pPr>
        <w:numPr>
          <w:ilvl w:val="0"/>
          <w:numId w:val="19"/>
        </w:numPr>
      </w:pPr>
      <w:r w:rsidRPr="00895FF9">
        <w:t xml:space="preserve">W kryteriach wyboru projektów </w:t>
      </w:r>
      <w:r>
        <w:t>należy</w:t>
      </w:r>
      <w:r w:rsidRPr="00895FF9">
        <w:t xml:space="preserve"> uwzględnić doświadczenie</w:t>
      </w:r>
      <w:r>
        <w:t xml:space="preserve"> (w tym biznesowe), profesjonalizm</w:t>
      </w:r>
      <w:r w:rsidRPr="00895FF9">
        <w:t xml:space="preserve"> i kompleksowość usług świadczonych przez OWES na rzecz PES</w:t>
      </w:r>
      <w:r>
        <w:t xml:space="preserve"> oraz wymagania dotyczące jakości świadczonych usług</w:t>
      </w:r>
      <w:r w:rsidRPr="00895FF9">
        <w:t>;</w:t>
      </w:r>
    </w:p>
    <w:p w:rsidR="00424449" w:rsidRDefault="00424449" w:rsidP="000B3173">
      <w:pPr>
        <w:numPr>
          <w:ilvl w:val="0"/>
          <w:numId w:val="19"/>
        </w:numPr>
        <w:spacing w:after="0"/>
      </w:pPr>
      <w:r>
        <w:t>Warto rozważyć jak mają być prowadzone działania zmierzające do zwiększenia rozpoznawalności podmiotów ekonomii społecznej. Doświadczenia okresu programowania 2007-2013 pokazują, że szkolenia dla przedstawicieli samorządów nie są efektywnym rozwiązaniem. Proponowane działania powinny uwzględniać wspólną pracę przedstawicieli sektora ekonomii społecznej i władz lokalnych.</w:t>
      </w:r>
    </w:p>
    <w:p w:rsidR="00424449" w:rsidRPr="007B6696" w:rsidRDefault="00424449" w:rsidP="000B3173">
      <w:pPr>
        <w:pStyle w:val="Nagwek3"/>
        <w:spacing w:before="0"/>
        <w:rPr>
          <w:rFonts w:asciiTheme="minorHAnsi" w:eastAsia="Times New Roman" w:hAnsiTheme="minorHAnsi" w:cs="Times New Roman"/>
        </w:rPr>
      </w:pPr>
      <w:r w:rsidRPr="007B6696">
        <w:rPr>
          <w:rFonts w:asciiTheme="minorHAnsi" w:hAnsiTheme="minorHAnsi"/>
        </w:rPr>
        <w:lastRenderedPageBreak/>
        <w:t>Ocena wskaźników</w:t>
      </w:r>
    </w:p>
    <w:p w:rsidR="00424449" w:rsidRDefault="00424449" w:rsidP="000B3173">
      <w:pPr>
        <w:pStyle w:val="Nagwek4"/>
        <w:rPr>
          <w:rFonts w:asciiTheme="minorHAnsi" w:hAnsiTheme="minorHAnsi"/>
        </w:rPr>
      </w:pPr>
      <w:r w:rsidRPr="007B6696">
        <w:rPr>
          <w:rFonts w:asciiTheme="minorHAnsi" w:hAnsiTheme="minorHAnsi"/>
        </w:rPr>
        <w:t xml:space="preserve">Wskaźniki rezultatu </w:t>
      </w:r>
    </w:p>
    <w:p w:rsidR="00424449" w:rsidRPr="00E9789F" w:rsidRDefault="00424449" w:rsidP="000B3173">
      <w:pPr>
        <w:spacing w:after="0"/>
      </w:pPr>
      <w:r w:rsidRPr="00E9789F">
        <w:t xml:space="preserve">Wskaźniki rezultatu zostały dobrane prawidłowo. </w:t>
      </w:r>
    </w:p>
    <w:p w:rsidR="00424449" w:rsidRPr="00E9789F" w:rsidRDefault="00424449" w:rsidP="000B3173">
      <w:pPr>
        <w:pStyle w:val="NormalnyWeb"/>
        <w:keepNext/>
        <w:spacing w:after="0" w:afterAutospacing="0"/>
        <w:jc w:val="center"/>
        <w:rPr>
          <w:rFonts w:asciiTheme="minorHAnsi" w:hAnsiTheme="minorHAnsi"/>
          <w:b/>
          <w:bCs/>
          <w:color w:val="366092" w:themeColor="accent1"/>
          <w:sz w:val="18"/>
          <w:szCs w:val="18"/>
        </w:rPr>
      </w:pPr>
      <w:r w:rsidRPr="00E9789F">
        <w:rPr>
          <w:rFonts w:asciiTheme="minorHAnsi" w:hAnsiTheme="minorHAnsi"/>
          <w:b/>
          <w:bCs/>
          <w:color w:val="366092" w:themeColor="accent1"/>
          <w:sz w:val="18"/>
          <w:szCs w:val="18"/>
        </w:rPr>
        <w:t xml:space="preserve">Tabela </w:t>
      </w:r>
      <w:r w:rsidR="001B04AC" w:rsidRPr="00E9789F">
        <w:rPr>
          <w:rFonts w:asciiTheme="minorHAnsi" w:hAnsiTheme="minorHAnsi"/>
          <w:b/>
          <w:bCs/>
          <w:color w:val="366092" w:themeColor="accent1"/>
          <w:sz w:val="18"/>
          <w:szCs w:val="18"/>
        </w:rPr>
        <w:fldChar w:fldCharType="begin"/>
      </w:r>
      <w:r w:rsidRPr="00E9789F">
        <w:rPr>
          <w:rFonts w:asciiTheme="minorHAnsi" w:hAnsiTheme="minorHAnsi"/>
          <w:b/>
          <w:bCs/>
          <w:color w:val="366092" w:themeColor="accent1"/>
          <w:sz w:val="18"/>
          <w:szCs w:val="18"/>
        </w:rPr>
        <w:instrText xml:space="preserve"> SEQ Tabela \* ARABIC </w:instrText>
      </w:r>
      <w:r w:rsidR="001B04AC" w:rsidRPr="00E9789F">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28</w:t>
      </w:r>
      <w:r w:rsidR="001B04AC" w:rsidRPr="00E9789F">
        <w:rPr>
          <w:rFonts w:asciiTheme="minorHAnsi" w:hAnsiTheme="minorHAnsi"/>
          <w:b/>
          <w:bCs/>
          <w:color w:val="366092" w:themeColor="accent1"/>
          <w:sz w:val="18"/>
          <w:szCs w:val="18"/>
        </w:rPr>
        <w:fldChar w:fldCharType="end"/>
      </w:r>
      <w:r w:rsidRPr="00E9789F">
        <w:rPr>
          <w:rFonts w:asciiTheme="minorHAnsi" w:hAnsiTheme="minorHAnsi"/>
          <w:b/>
          <w:bCs/>
          <w:color w:val="366092" w:themeColor="accent1"/>
          <w:sz w:val="18"/>
          <w:szCs w:val="18"/>
        </w:rPr>
        <w:t>. Oś priorytetowa VIII – ocena wskaźników rezultatu strategicznego</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3114"/>
        <w:gridCol w:w="1725"/>
        <w:gridCol w:w="2386"/>
        <w:gridCol w:w="2061"/>
      </w:tblGrid>
      <w:tr w:rsidR="00424449" w:rsidRPr="00E9789F" w:rsidTr="002B502A">
        <w:trPr>
          <w:tblHeader/>
        </w:trPr>
        <w:tc>
          <w:tcPr>
            <w:tcW w:w="309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E9789F" w:rsidRDefault="00424449" w:rsidP="000B3173">
            <w:pPr>
              <w:spacing w:before="120"/>
              <w:jc w:val="center"/>
              <w:rPr>
                <w:rFonts w:ascii="Calibri" w:eastAsia="Calibri" w:hAnsi="Calibri" w:cs="Times New Roman"/>
                <w:b/>
                <w:color w:val="FFFFFF" w:themeColor="background1"/>
                <w:sz w:val="20"/>
              </w:rPr>
            </w:pPr>
            <w:r w:rsidRPr="00E9789F">
              <w:rPr>
                <w:b/>
                <w:color w:val="FFFFFF" w:themeColor="background1"/>
                <w:sz w:val="20"/>
              </w:rPr>
              <w:t>wskaźnik rezultatu</w:t>
            </w:r>
          </w:p>
        </w:tc>
        <w:tc>
          <w:tcPr>
            <w:tcW w:w="17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E9789F" w:rsidRDefault="00424449" w:rsidP="000B3173">
            <w:pPr>
              <w:spacing w:before="120"/>
              <w:jc w:val="center"/>
              <w:rPr>
                <w:rFonts w:ascii="Calibri" w:eastAsia="Calibri" w:hAnsi="Calibri" w:cs="Times New Roman"/>
                <w:b/>
                <w:color w:val="FFFFFF" w:themeColor="background1"/>
                <w:sz w:val="20"/>
              </w:rPr>
            </w:pPr>
            <w:r w:rsidRPr="00E9789F">
              <w:rPr>
                <w:b/>
                <w:color w:val="FFFFFF" w:themeColor="background1"/>
                <w:sz w:val="20"/>
              </w:rPr>
              <w:t>priorytety inwestycyjne</w:t>
            </w:r>
          </w:p>
        </w:tc>
        <w:tc>
          <w:tcPr>
            <w:tcW w:w="23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E9789F" w:rsidRDefault="00424449" w:rsidP="000B3173">
            <w:pPr>
              <w:spacing w:before="120"/>
              <w:jc w:val="center"/>
              <w:rPr>
                <w:rFonts w:ascii="Calibri" w:eastAsia="Calibri" w:hAnsi="Calibri" w:cs="Times New Roman"/>
                <w:b/>
                <w:color w:val="FFFFFF" w:themeColor="background1"/>
                <w:sz w:val="20"/>
              </w:rPr>
            </w:pPr>
            <w:r w:rsidRPr="00E9789F">
              <w:rPr>
                <w:b/>
                <w:color w:val="FFFFFF" w:themeColor="background1"/>
                <w:sz w:val="20"/>
              </w:rPr>
              <w:t>ocena doboru wskaźnika</w:t>
            </w:r>
          </w:p>
        </w:tc>
        <w:tc>
          <w:tcPr>
            <w:tcW w:w="205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E9789F" w:rsidRDefault="00424449" w:rsidP="000B3173">
            <w:pPr>
              <w:spacing w:before="120"/>
              <w:jc w:val="center"/>
              <w:rPr>
                <w:b/>
                <w:color w:val="FFFFFF" w:themeColor="background1"/>
                <w:sz w:val="20"/>
              </w:rPr>
            </w:pPr>
            <w:r w:rsidRPr="00E9789F">
              <w:rPr>
                <w:b/>
                <w:color w:val="FFFFFF" w:themeColor="background1"/>
                <w:sz w:val="20"/>
              </w:rPr>
              <w:t>ocena wartości docelowej</w:t>
            </w:r>
          </w:p>
        </w:tc>
      </w:tr>
      <w:tr w:rsidR="00424449" w:rsidRPr="00E9789F" w:rsidTr="000B3173">
        <w:tc>
          <w:tcPr>
            <w:tcW w:w="309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E9789F" w:rsidRDefault="00424449" w:rsidP="000B3173">
            <w:pPr>
              <w:spacing w:before="60"/>
              <w:jc w:val="center"/>
              <w:rPr>
                <w:i/>
                <w:sz w:val="20"/>
              </w:rPr>
            </w:pPr>
            <w:r w:rsidRPr="00E9789F">
              <w:rPr>
                <w:i/>
                <w:sz w:val="20"/>
              </w:rPr>
              <w:t>Liczb osób w niekorzystnej  sytuacji społecznej poszukujących pracy, uczestniczących w kształceniu lub szkoleniu,  zdobywających kwalifikacje, pracujących (łącznie z prowadzącymi działalność na własny rachunek) po opuszczeniu programu</w:t>
            </w:r>
          </w:p>
        </w:tc>
        <w:tc>
          <w:tcPr>
            <w:tcW w:w="17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9.4</w:t>
            </w:r>
          </w:p>
        </w:tc>
        <w:tc>
          <w:tcPr>
            <w:tcW w:w="23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brak uwag</w:t>
            </w:r>
          </w:p>
        </w:tc>
        <w:tc>
          <w:tcPr>
            <w:tcW w:w="205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sz w:val="20"/>
              </w:rPr>
            </w:pPr>
            <w:r w:rsidRPr="00E9789F">
              <w:rPr>
                <w:sz w:val="20"/>
              </w:rPr>
              <w:t>brak uwag</w:t>
            </w:r>
          </w:p>
        </w:tc>
      </w:tr>
      <w:tr w:rsidR="00424449" w:rsidRPr="00E9789F" w:rsidTr="000B3173">
        <w:tc>
          <w:tcPr>
            <w:tcW w:w="309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E9789F" w:rsidRDefault="00424449" w:rsidP="000B3173">
            <w:pPr>
              <w:spacing w:before="60"/>
              <w:jc w:val="center"/>
              <w:rPr>
                <w:i/>
                <w:sz w:val="20"/>
              </w:rPr>
            </w:pPr>
            <w:r w:rsidRPr="00E9789F">
              <w:rPr>
                <w:i/>
                <w:sz w:val="20"/>
              </w:rPr>
              <w:t>Liczba usług społecznych zrealizowanych na rzecz osób zagrożonych wykluczeniem społecznym po opuszczeniu programu</w:t>
            </w:r>
          </w:p>
        </w:tc>
        <w:tc>
          <w:tcPr>
            <w:tcW w:w="17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9.7</w:t>
            </w:r>
          </w:p>
        </w:tc>
        <w:tc>
          <w:tcPr>
            <w:tcW w:w="23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brak uwag</w:t>
            </w:r>
          </w:p>
        </w:tc>
        <w:tc>
          <w:tcPr>
            <w:tcW w:w="205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sz w:val="20"/>
              </w:rPr>
            </w:pPr>
            <w:r w:rsidRPr="00E9789F">
              <w:rPr>
                <w:sz w:val="20"/>
              </w:rPr>
              <w:t>brak uwag</w:t>
            </w:r>
          </w:p>
        </w:tc>
      </w:tr>
      <w:tr w:rsidR="00424449" w:rsidRPr="00E9789F" w:rsidTr="000B3173">
        <w:tc>
          <w:tcPr>
            <w:tcW w:w="309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E9789F" w:rsidRDefault="00424449" w:rsidP="000B3173">
            <w:pPr>
              <w:spacing w:before="60"/>
              <w:jc w:val="center"/>
              <w:rPr>
                <w:i/>
                <w:sz w:val="20"/>
              </w:rPr>
            </w:pPr>
            <w:r w:rsidRPr="00E9789F">
              <w:rPr>
                <w:i/>
                <w:sz w:val="20"/>
              </w:rPr>
              <w:t>Liczba usług zdrowotnych zrealizowanych na rzecz osób zagrożonych wykluczeniem społecznym po opuszczeniu programu</w:t>
            </w:r>
          </w:p>
        </w:tc>
        <w:tc>
          <w:tcPr>
            <w:tcW w:w="17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9.7</w:t>
            </w:r>
          </w:p>
        </w:tc>
        <w:tc>
          <w:tcPr>
            <w:tcW w:w="23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brak uwag</w:t>
            </w:r>
          </w:p>
        </w:tc>
        <w:tc>
          <w:tcPr>
            <w:tcW w:w="205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sz w:val="20"/>
              </w:rPr>
            </w:pPr>
            <w:r w:rsidRPr="00E9789F">
              <w:rPr>
                <w:sz w:val="20"/>
              </w:rPr>
              <w:t>brak uwag</w:t>
            </w:r>
          </w:p>
        </w:tc>
      </w:tr>
      <w:tr w:rsidR="00424449" w:rsidRPr="00E9789F" w:rsidTr="000B3173">
        <w:tc>
          <w:tcPr>
            <w:tcW w:w="309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E9789F" w:rsidRDefault="00424449" w:rsidP="000B3173">
            <w:pPr>
              <w:spacing w:before="60"/>
              <w:jc w:val="center"/>
              <w:rPr>
                <w:i/>
                <w:sz w:val="20"/>
              </w:rPr>
            </w:pPr>
            <w:r w:rsidRPr="00E9789F">
              <w:rPr>
                <w:i/>
                <w:sz w:val="20"/>
              </w:rPr>
              <w:t>Liczba miejsc pracy utworzonych w przedsiębiorstwach społecznych</w:t>
            </w:r>
          </w:p>
        </w:tc>
        <w:tc>
          <w:tcPr>
            <w:tcW w:w="171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E9789F" w:rsidRDefault="00424449" w:rsidP="000B3173">
            <w:pPr>
              <w:spacing w:before="120"/>
              <w:jc w:val="center"/>
              <w:rPr>
                <w:rFonts w:ascii="Calibri" w:eastAsia="Calibri" w:hAnsi="Calibri" w:cs="Times New Roman"/>
                <w:sz w:val="20"/>
              </w:rPr>
            </w:pPr>
            <w:r w:rsidRPr="00E9789F">
              <w:rPr>
                <w:rFonts w:ascii="Calibri" w:eastAsia="Calibri" w:hAnsi="Calibri" w:cs="Times New Roman"/>
                <w:sz w:val="20"/>
              </w:rPr>
              <w:t>9.8</w:t>
            </w:r>
          </w:p>
        </w:tc>
        <w:tc>
          <w:tcPr>
            <w:tcW w:w="23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rFonts w:ascii="Calibri" w:eastAsia="Calibri" w:hAnsi="Calibri" w:cs="Times New Roman"/>
                <w:sz w:val="20"/>
              </w:rPr>
            </w:pPr>
            <w:r w:rsidRPr="00E9789F">
              <w:rPr>
                <w:sz w:val="20"/>
              </w:rPr>
              <w:t>brak uwag</w:t>
            </w:r>
          </w:p>
        </w:tc>
        <w:tc>
          <w:tcPr>
            <w:tcW w:w="2051"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E9789F" w:rsidRDefault="00424449" w:rsidP="000B3173">
            <w:pPr>
              <w:spacing w:before="120"/>
              <w:jc w:val="center"/>
              <w:rPr>
                <w:sz w:val="20"/>
                <w:szCs w:val="18"/>
                <w:highlight w:val="yellow"/>
              </w:rPr>
            </w:pPr>
            <w:r w:rsidRPr="00E9789F">
              <w:rPr>
                <w:sz w:val="20"/>
              </w:rPr>
              <w:t>brak uwag</w:t>
            </w:r>
          </w:p>
        </w:tc>
      </w:tr>
    </w:tbl>
    <w:p w:rsidR="00424449" w:rsidRPr="00E9789F" w:rsidRDefault="00424449" w:rsidP="000B3173">
      <w:pPr>
        <w:pStyle w:val="rdo"/>
        <w:spacing w:before="0" w:after="0"/>
        <w:rPr>
          <w:rFonts w:asciiTheme="minorHAnsi" w:hAnsiTheme="minorHAnsi"/>
        </w:rPr>
      </w:pPr>
      <w:r w:rsidRPr="00E9789F">
        <w:rPr>
          <w:rFonts w:asciiTheme="minorHAnsi" w:hAnsiTheme="minorHAnsi"/>
        </w:rPr>
        <w:t>Źródło: Opracowanie własne</w:t>
      </w:r>
    </w:p>
    <w:p w:rsidR="00424449" w:rsidRPr="00E9789F" w:rsidRDefault="00424449" w:rsidP="000B3173">
      <w:pPr>
        <w:pStyle w:val="Nagwek4"/>
        <w:rPr>
          <w:rFonts w:asciiTheme="minorHAnsi" w:hAnsiTheme="minorHAnsi"/>
        </w:rPr>
      </w:pPr>
      <w:r w:rsidRPr="00E9789F">
        <w:rPr>
          <w:rFonts w:asciiTheme="minorHAnsi" w:hAnsiTheme="minorHAnsi"/>
        </w:rPr>
        <w:t>Wskaźniki typu output</w:t>
      </w:r>
    </w:p>
    <w:p w:rsidR="00424449" w:rsidRPr="00E9789F" w:rsidRDefault="00424449" w:rsidP="000B3173">
      <w:pPr>
        <w:spacing w:after="0"/>
      </w:pPr>
      <w:r w:rsidRPr="00E9789F">
        <w:t xml:space="preserve">Wskaźniki typu output zostały dopasowane do logiki interwencji. </w:t>
      </w:r>
    </w:p>
    <w:p w:rsidR="00424449" w:rsidRPr="00E9789F" w:rsidRDefault="00424449" w:rsidP="000B3173">
      <w:pPr>
        <w:pStyle w:val="NormalnyWeb"/>
        <w:keepNext/>
        <w:spacing w:after="0" w:afterAutospacing="0"/>
        <w:jc w:val="center"/>
        <w:rPr>
          <w:rFonts w:asciiTheme="minorHAnsi" w:hAnsiTheme="minorHAnsi"/>
          <w:b/>
          <w:bCs/>
          <w:color w:val="366092" w:themeColor="accent1"/>
          <w:sz w:val="18"/>
          <w:szCs w:val="18"/>
        </w:rPr>
      </w:pPr>
      <w:r w:rsidRPr="00E9789F">
        <w:rPr>
          <w:rFonts w:asciiTheme="minorHAnsi" w:hAnsiTheme="minorHAnsi"/>
          <w:b/>
          <w:bCs/>
          <w:color w:val="366092" w:themeColor="accent1"/>
          <w:sz w:val="18"/>
          <w:szCs w:val="18"/>
        </w:rPr>
        <w:t xml:space="preserve">Tabela </w:t>
      </w:r>
      <w:r w:rsidR="001B04AC" w:rsidRPr="00E9789F">
        <w:rPr>
          <w:rFonts w:asciiTheme="minorHAnsi" w:hAnsiTheme="minorHAnsi"/>
          <w:b/>
          <w:bCs/>
          <w:color w:val="366092" w:themeColor="accent1"/>
          <w:sz w:val="18"/>
          <w:szCs w:val="18"/>
        </w:rPr>
        <w:fldChar w:fldCharType="begin"/>
      </w:r>
      <w:r w:rsidRPr="00E9789F">
        <w:rPr>
          <w:rFonts w:asciiTheme="minorHAnsi" w:hAnsiTheme="minorHAnsi"/>
          <w:b/>
          <w:bCs/>
          <w:color w:val="366092" w:themeColor="accent1"/>
          <w:sz w:val="18"/>
          <w:szCs w:val="18"/>
        </w:rPr>
        <w:instrText xml:space="preserve"> SEQ Tabela \* ARABIC </w:instrText>
      </w:r>
      <w:r w:rsidR="001B04AC" w:rsidRPr="00E9789F">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29</w:t>
      </w:r>
      <w:r w:rsidR="001B04AC" w:rsidRPr="00E9789F">
        <w:rPr>
          <w:rFonts w:asciiTheme="minorHAnsi" w:hAnsiTheme="minorHAnsi"/>
          <w:b/>
          <w:bCs/>
          <w:color w:val="366092" w:themeColor="accent1"/>
          <w:sz w:val="18"/>
          <w:szCs w:val="18"/>
        </w:rPr>
        <w:fldChar w:fldCharType="end"/>
      </w:r>
      <w:r w:rsidRPr="00E9789F">
        <w:rPr>
          <w:rFonts w:asciiTheme="minorHAnsi" w:hAnsiTheme="minorHAnsi"/>
          <w:b/>
          <w:bCs/>
          <w:color w:val="366092" w:themeColor="accent1"/>
          <w:sz w:val="18"/>
          <w:szCs w:val="18"/>
        </w:rPr>
        <w:t>. Oś priorytetowa VIII – ocena wskaźników typu output</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737"/>
        <w:gridCol w:w="3645"/>
        <w:gridCol w:w="2618"/>
        <w:gridCol w:w="2286"/>
      </w:tblGrid>
      <w:tr w:rsidR="00424449" w:rsidRPr="002870C7" w:rsidTr="002B502A">
        <w:trPr>
          <w:tblHeader/>
        </w:trPr>
        <w:tc>
          <w:tcPr>
            <w:tcW w:w="73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Pr="002870C7" w:rsidRDefault="00424449" w:rsidP="000B3173">
            <w:pPr>
              <w:spacing w:before="60"/>
              <w:jc w:val="center"/>
              <w:rPr>
                <w:rFonts w:eastAsia="Calibri" w:cstheme="minorHAnsi"/>
                <w:b/>
                <w:color w:val="FFFFFF" w:themeColor="background1"/>
                <w:sz w:val="20"/>
                <w:szCs w:val="20"/>
              </w:rPr>
            </w:pPr>
          </w:p>
        </w:tc>
        <w:tc>
          <w:tcPr>
            <w:tcW w:w="362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0B3173">
            <w:pPr>
              <w:spacing w:before="60"/>
              <w:jc w:val="center"/>
              <w:rPr>
                <w:rFonts w:eastAsia="Calibri" w:cstheme="minorHAnsi"/>
                <w:b/>
                <w:color w:val="FFFFFF" w:themeColor="background1"/>
                <w:sz w:val="20"/>
                <w:szCs w:val="20"/>
              </w:rPr>
            </w:pPr>
            <w:r w:rsidRPr="002870C7">
              <w:rPr>
                <w:rFonts w:cstheme="minorHAnsi"/>
                <w:b/>
                <w:color w:val="FFFFFF" w:themeColor="background1"/>
                <w:sz w:val="20"/>
                <w:szCs w:val="20"/>
              </w:rPr>
              <w:t>wskaźnik</w:t>
            </w:r>
          </w:p>
        </w:tc>
        <w:tc>
          <w:tcPr>
            <w:tcW w:w="260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0B3173">
            <w:pPr>
              <w:spacing w:before="60"/>
              <w:jc w:val="center"/>
              <w:rPr>
                <w:rFonts w:eastAsia="Calibri" w:cstheme="minorHAnsi"/>
                <w:b/>
                <w:color w:val="FFFFFF" w:themeColor="background1"/>
                <w:sz w:val="20"/>
                <w:szCs w:val="20"/>
              </w:rPr>
            </w:pPr>
            <w:r w:rsidRPr="002870C7">
              <w:rPr>
                <w:rFonts w:cstheme="minorHAnsi"/>
                <w:b/>
                <w:color w:val="FFFFFF" w:themeColor="background1"/>
                <w:sz w:val="20"/>
                <w:szCs w:val="20"/>
              </w:rPr>
              <w:t>ocena doboru wskaźnika</w:t>
            </w:r>
          </w:p>
        </w:tc>
        <w:tc>
          <w:tcPr>
            <w:tcW w:w="22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0B3173">
            <w:pPr>
              <w:spacing w:before="60"/>
              <w:jc w:val="center"/>
              <w:rPr>
                <w:rFonts w:cstheme="minorHAnsi"/>
                <w:b/>
                <w:color w:val="FFFFFF" w:themeColor="background1"/>
                <w:sz w:val="20"/>
                <w:szCs w:val="20"/>
              </w:rPr>
            </w:pPr>
            <w:r w:rsidRPr="002870C7">
              <w:rPr>
                <w:rFonts w:cstheme="minorHAnsi"/>
                <w:b/>
                <w:color w:val="FFFFFF" w:themeColor="background1"/>
                <w:sz w:val="20"/>
                <w:szCs w:val="20"/>
              </w:rPr>
              <w:t>Ocena wartości docelowej</w:t>
            </w:r>
          </w:p>
        </w:tc>
      </w:tr>
      <w:tr w:rsidR="00424449" w:rsidRPr="002870C7" w:rsidTr="002B502A">
        <w:trPr>
          <w:trHeight w:val="668"/>
        </w:trPr>
        <w:tc>
          <w:tcPr>
            <w:tcW w:w="73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spacing w:before="60"/>
              <w:jc w:val="center"/>
              <w:rPr>
                <w:rFonts w:eastAsia="Calibri" w:cstheme="minorHAnsi"/>
                <w:b/>
                <w:sz w:val="20"/>
                <w:szCs w:val="20"/>
              </w:rPr>
            </w:pPr>
            <w:r w:rsidRPr="002870C7">
              <w:rPr>
                <w:rFonts w:eastAsia="Calibri" w:cstheme="minorHAnsi"/>
                <w:b/>
                <w:sz w:val="20"/>
                <w:szCs w:val="20"/>
              </w:rPr>
              <w:t>9.4</w:t>
            </w:r>
          </w:p>
        </w:tc>
        <w:tc>
          <w:tcPr>
            <w:tcW w:w="362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jc w:val="center"/>
              <w:rPr>
                <w:rFonts w:eastAsia="Calibri" w:cstheme="minorHAnsi"/>
                <w:i/>
                <w:sz w:val="20"/>
                <w:szCs w:val="20"/>
              </w:rPr>
            </w:pPr>
            <w:r w:rsidRPr="002870C7">
              <w:rPr>
                <w:rFonts w:eastAsia="Calibri" w:cstheme="minorHAnsi"/>
                <w:i/>
                <w:sz w:val="20"/>
                <w:szCs w:val="20"/>
              </w:rPr>
              <w:t>Liczba osób zagrożonych wykluczeniem społecznym objętych wsparciem w programie</w:t>
            </w:r>
          </w:p>
        </w:tc>
        <w:tc>
          <w:tcPr>
            <w:tcW w:w="260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spacing w:before="60"/>
              <w:jc w:val="center"/>
              <w:rPr>
                <w:rFonts w:eastAsia="Calibri" w:cstheme="minorHAnsi"/>
                <w:sz w:val="20"/>
                <w:szCs w:val="20"/>
              </w:rPr>
            </w:pPr>
            <w:r w:rsidRPr="002870C7">
              <w:rPr>
                <w:rFonts w:cstheme="minorHAnsi"/>
                <w:sz w:val="20"/>
                <w:szCs w:val="20"/>
              </w:rPr>
              <w:t>wskaźnik dobrany prawidłowo</w:t>
            </w:r>
          </w:p>
        </w:tc>
        <w:tc>
          <w:tcPr>
            <w:tcW w:w="22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spacing w:before="60"/>
              <w:jc w:val="center"/>
              <w:rPr>
                <w:rFonts w:eastAsia="Calibri" w:cstheme="minorHAnsi"/>
                <w:sz w:val="20"/>
                <w:szCs w:val="20"/>
              </w:rPr>
            </w:pPr>
            <w:r w:rsidRPr="002870C7">
              <w:rPr>
                <w:rFonts w:cstheme="minorHAnsi"/>
                <w:sz w:val="20"/>
                <w:szCs w:val="20"/>
              </w:rPr>
              <w:t>brak uwag</w:t>
            </w:r>
          </w:p>
        </w:tc>
      </w:tr>
      <w:tr w:rsidR="00424449" w:rsidRPr="002870C7" w:rsidTr="002B502A">
        <w:trPr>
          <w:trHeight w:val="663"/>
        </w:trPr>
        <w:tc>
          <w:tcPr>
            <w:tcW w:w="73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spacing w:before="60"/>
              <w:jc w:val="center"/>
              <w:rPr>
                <w:rFonts w:cstheme="minorHAnsi"/>
                <w:b/>
                <w:sz w:val="20"/>
                <w:szCs w:val="20"/>
              </w:rPr>
            </w:pPr>
            <w:r w:rsidRPr="002870C7">
              <w:rPr>
                <w:rFonts w:cstheme="minorHAnsi"/>
                <w:b/>
                <w:sz w:val="20"/>
                <w:szCs w:val="20"/>
              </w:rPr>
              <w:t>9.7</w:t>
            </w:r>
          </w:p>
        </w:tc>
        <w:tc>
          <w:tcPr>
            <w:tcW w:w="362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jc w:val="center"/>
              <w:rPr>
                <w:rFonts w:cstheme="minorHAnsi"/>
                <w:i/>
                <w:sz w:val="20"/>
                <w:szCs w:val="20"/>
                <w:highlight w:val="red"/>
              </w:rPr>
            </w:pPr>
            <w:r w:rsidRPr="002870C7">
              <w:rPr>
                <w:rFonts w:cstheme="minorHAnsi"/>
                <w:i/>
                <w:sz w:val="20"/>
                <w:szCs w:val="20"/>
              </w:rPr>
              <w:t>Liczba osób zagrożonych wykluczeniem społecznym objętych usługami społecznymi lub zdrowotnymi w programie</w:t>
            </w:r>
          </w:p>
        </w:tc>
        <w:tc>
          <w:tcPr>
            <w:tcW w:w="260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jc w:val="center"/>
              <w:rPr>
                <w:rFonts w:cstheme="minorHAnsi"/>
                <w:sz w:val="20"/>
                <w:szCs w:val="20"/>
              </w:rPr>
            </w:pPr>
            <w:r w:rsidRPr="002870C7">
              <w:rPr>
                <w:rFonts w:cstheme="minorHAnsi"/>
                <w:sz w:val="20"/>
                <w:szCs w:val="20"/>
              </w:rPr>
              <w:t>wskaźnik dobrany prawidłowo</w:t>
            </w:r>
          </w:p>
        </w:tc>
        <w:tc>
          <w:tcPr>
            <w:tcW w:w="22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jc w:val="center"/>
              <w:rPr>
                <w:rFonts w:cstheme="minorHAnsi"/>
                <w:sz w:val="20"/>
                <w:szCs w:val="20"/>
              </w:rPr>
            </w:pPr>
            <w:r w:rsidRPr="002870C7">
              <w:rPr>
                <w:rFonts w:cstheme="minorHAnsi"/>
                <w:sz w:val="20"/>
                <w:szCs w:val="20"/>
              </w:rPr>
              <w:t>brak uwag</w:t>
            </w:r>
          </w:p>
        </w:tc>
      </w:tr>
      <w:tr w:rsidR="00424449" w:rsidRPr="002870C7" w:rsidTr="002B502A">
        <w:trPr>
          <w:trHeight w:val="752"/>
        </w:trPr>
        <w:tc>
          <w:tcPr>
            <w:tcW w:w="733"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spacing w:before="60"/>
              <w:jc w:val="center"/>
              <w:rPr>
                <w:rFonts w:eastAsia="Calibri" w:cstheme="minorHAnsi"/>
                <w:b/>
                <w:sz w:val="20"/>
                <w:szCs w:val="20"/>
              </w:rPr>
            </w:pPr>
            <w:r w:rsidRPr="002870C7">
              <w:rPr>
                <w:rFonts w:eastAsia="Calibri" w:cstheme="minorHAnsi"/>
                <w:b/>
                <w:sz w:val="20"/>
                <w:szCs w:val="20"/>
              </w:rPr>
              <w:t>9.8</w:t>
            </w:r>
          </w:p>
        </w:tc>
        <w:tc>
          <w:tcPr>
            <w:tcW w:w="362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2870C7" w:rsidRDefault="00424449" w:rsidP="000B3173">
            <w:pPr>
              <w:jc w:val="center"/>
              <w:rPr>
                <w:rFonts w:cstheme="minorHAnsi"/>
                <w:i/>
                <w:sz w:val="20"/>
                <w:szCs w:val="20"/>
              </w:rPr>
            </w:pPr>
            <w:r w:rsidRPr="002870C7">
              <w:rPr>
                <w:rFonts w:cstheme="minorHAnsi"/>
                <w:i/>
                <w:sz w:val="20"/>
                <w:szCs w:val="20"/>
              </w:rPr>
              <w:t>Liczba podmiotów ekonomii społecznej objętych wsparciem</w:t>
            </w:r>
          </w:p>
        </w:tc>
        <w:tc>
          <w:tcPr>
            <w:tcW w:w="260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jc w:val="center"/>
              <w:rPr>
                <w:rFonts w:eastAsia="Calibri" w:cstheme="minorHAnsi"/>
                <w:sz w:val="20"/>
                <w:szCs w:val="20"/>
                <w:highlight w:val="yellow"/>
              </w:rPr>
            </w:pPr>
            <w:r w:rsidRPr="002870C7">
              <w:rPr>
                <w:rFonts w:cstheme="minorHAnsi"/>
                <w:sz w:val="20"/>
                <w:szCs w:val="20"/>
              </w:rPr>
              <w:t>wskaźnik dobrany prawidłowo</w:t>
            </w:r>
          </w:p>
        </w:tc>
        <w:tc>
          <w:tcPr>
            <w:tcW w:w="227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0B3173">
            <w:pPr>
              <w:jc w:val="center"/>
              <w:rPr>
                <w:rFonts w:eastAsia="Calibri" w:cstheme="minorHAnsi"/>
                <w:sz w:val="20"/>
                <w:szCs w:val="20"/>
                <w:highlight w:val="yellow"/>
              </w:rPr>
            </w:pPr>
            <w:r w:rsidRPr="002870C7">
              <w:rPr>
                <w:rFonts w:cstheme="minorHAnsi"/>
                <w:sz w:val="20"/>
                <w:szCs w:val="20"/>
              </w:rPr>
              <w:t>brak uwag</w:t>
            </w:r>
          </w:p>
        </w:tc>
      </w:tr>
    </w:tbl>
    <w:p w:rsidR="00424449" w:rsidRPr="00E9789F" w:rsidRDefault="00424449" w:rsidP="000B3173">
      <w:pPr>
        <w:pStyle w:val="rdo"/>
        <w:spacing w:after="0"/>
        <w:rPr>
          <w:rFonts w:asciiTheme="minorHAnsi" w:hAnsiTheme="minorHAnsi"/>
        </w:rPr>
      </w:pPr>
      <w:r w:rsidRPr="00E9789F">
        <w:rPr>
          <w:rFonts w:asciiTheme="minorHAnsi" w:hAnsiTheme="minorHAnsi"/>
        </w:rPr>
        <w:lastRenderedPageBreak/>
        <w:t>Źródło: Opracowanie własne</w:t>
      </w:r>
    </w:p>
    <w:p w:rsidR="00424449" w:rsidRPr="00895FF9" w:rsidRDefault="00424449" w:rsidP="00424449">
      <w:pPr>
        <w:pStyle w:val="rdo"/>
        <w:rPr>
          <w:rFonts w:asciiTheme="minorHAnsi" w:eastAsia="Calibri" w:hAnsiTheme="minorHAnsi"/>
          <w:color w:val="FF0000"/>
        </w:rPr>
      </w:pPr>
    </w:p>
    <w:p w:rsidR="00424449" w:rsidRPr="007B1F62" w:rsidRDefault="00424449" w:rsidP="00424449">
      <w:pPr>
        <w:pStyle w:val="Nagwek4"/>
        <w:rPr>
          <w:rFonts w:asciiTheme="minorHAnsi" w:hAnsiTheme="minorHAnsi"/>
        </w:rPr>
      </w:pPr>
      <w:r w:rsidRPr="007B1F62">
        <w:rPr>
          <w:rFonts w:asciiTheme="minorHAnsi" w:hAnsiTheme="minorHAnsi"/>
        </w:rPr>
        <w:t>Wskaźniki wybrane do ram wykonania</w:t>
      </w:r>
    </w:p>
    <w:p w:rsidR="00424449" w:rsidRPr="007B1F62" w:rsidRDefault="00424449" w:rsidP="00424449">
      <w:r w:rsidRPr="007B1F62">
        <w:t>W Projekcie RPO</w:t>
      </w:r>
      <w:r>
        <w:t xml:space="preserve"> WP 2014-2020</w:t>
      </w:r>
      <w:r w:rsidRPr="007B1F62">
        <w:t xml:space="preserve"> zaproponowano adekwatne wskaźniki do ram wykonania.</w:t>
      </w:r>
    </w:p>
    <w:p w:rsidR="00424449" w:rsidRPr="007B1F62" w:rsidRDefault="00424449" w:rsidP="00424449">
      <w:pPr>
        <w:pStyle w:val="NormalnyWeb"/>
        <w:keepNext/>
        <w:spacing w:after="0" w:afterAutospacing="0"/>
        <w:jc w:val="center"/>
        <w:rPr>
          <w:rFonts w:asciiTheme="minorHAnsi" w:hAnsiTheme="minorHAnsi"/>
          <w:b/>
          <w:bCs/>
          <w:color w:val="366092" w:themeColor="accent1"/>
          <w:sz w:val="18"/>
          <w:szCs w:val="18"/>
        </w:rPr>
      </w:pPr>
      <w:r w:rsidRPr="007B1F62">
        <w:rPr>
          <w:rFonts w:asciiTheme="minorHAnsi" w:hAnsiTheme="minorHAnsi"/>
          <w:b/>
          <w:bCs/>
          <w:color w:val="366092" w:themeColor="accent1"/>
          <w:sz w:val="18"/>
          <w:szCs w:val="18"/>
        </w:rPr>
        <w:t xml:space="preserve">Tabela </w:t>
      </w:r>
      <w:r w:rsidR="001B04AC" w:rsidRPr="007B1F62">
        <w:rPr>
          <w:rFonts w:asciiTheme="minorHAnsi" w:hAnsiTheme="minorHAnsi"/>
          <w:b/>
          <w:bCs/>
          <w:color w:val="366092" w:themeColor="accent1"/>
          <w:sz w:val="18"/>
          <w:szCs w:val="18"/>
        </w:rPr>
        <w:fldChar w:fldCharType="begin"/>
      </w:r>
      <w:r w:rsidRPr="007B1F62">
        <w:rPr>
          <w:rFonts w:asciiTheme="minorHAnsi" w:hAnsiTheme="minorHAnsi"/>
          <w:b/>
          <w:bCs/>
          <w:color w:val="366092" w:themeColor="accent1"/>
          <w:sz w:val="18"/>
          <w:szCs w:val="18"/>
        </w:rPr>
        <w:instrText xml:space="preserve"> SEQ Tabela \* ARABIC </w:instrText>
      </w:r>
      <w:r w:rsidR="001B04AC" w:rsidRPr="007B1F62">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30</w:t>
      </w:r>
      <w:r w:rsidR="001B04AC" w:rsidRPr="007B1F62">
        <w:rPr>
          <w:rFonts w:asciiTheme="minorHAnsi" w:hAnsiTheme="minorHAnsi"/>
          <w:b/>
          <w:bCs/>
          <w:color w:val="366092" w:themeColor="accent1"/>
          <w:sz w:val="18"/>
          <w:szCs w:val="18"/>
        </w:rPr>
        <w:fldChar w:fldCharType="end"/>
      </w:r>
      <w:r w:rsidRPr="007B1F62">
        <w:rPr>
          <w:rFonts w:asciiTheme="minorHAnsi" w:hAnsiTheme="minorHAnsi"/>
          <w:b/>
          <w:bCs/>
          <w:color w:val="366092" w:themeColor="accent1"/>
          <w:sz w:val="18"/>
          <w:szCs w:val="18"/>
        </w:rPr>
        <w:t>. Oś priorytetowa VIII – ocena wskaźników wybranych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4054"/>
        <w:gridCol w:w="2771"/>
        <w:gridCol w:w="2461"/>
      </w:tblGrid>
      <w:tr w:rsidR="00424449" w:rsidRPr="002870C7" w:rsidTr="002B502A">
        <w:trPr>
          <w:tblHeader/>
        </w:trPr>
        <w:tc>
          <w:tcPr>
            <w:tcW w:w="40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2B502A">
            <w:pPr>
              <w:spacing w:before="60" w:after="60"/>
              <w:jc w:val="center"/>
              <w:rPr>
                <w:rFonts w:eastAsia="Calibri" w:cstheme="minorHAnsi"/>
                <w:b/>
                <w:color w:val="FFFFFF" w:themeColor="background1"/>
                <w:sz w:val="20"/>
                <w:szCs w:val="20"/>
              </w:rPr>
            </w:pPr>
            <w:r w:rsidRPr="002870C7">
              <w:rPr>
                <w:rFonts w:eastAsia="Calibri" w:cstheme="minorHAnsi"/>
                <w:b/>
                <w:color w:val="FFFFFF" w:themeColor="background1"/>
                <w:sz w:val="20"/>
                <w:szCs w:val="20"/>
              </w:rPr>
              <w:t>wskaźnik rezultatu</w:t>
            </w:r>
          </w:p>
        </w:tc>
        <w:tc>
          <w:tcPr>
            <w:tcW w:w="27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2B502A">
            <w:pPr>
              <w:spacing w:before="60" w:after="60"/>
              <w:jc w:val="center"/>
              <w:rPr>
                <w:rFonts w:eastAsia="Calibri" w:cstheme="minorHAnsi"/>
                <w:b/>
                <w:color w:val="FFFFFF" w:themeColor="background1"/>
                <w:sz w:val="20"/>
                <w:szCs w:val="20"/>
              </w:rPr>
            </w:pPr>
            <w:r w:rsidRPr="002870C7">
              <w:rPr>
                <w:rFonts w:eastAsia="Calibri" w:cstheme="minorHAnsi"/>
                <w:b/>
                <w:color w:val="FFFFFF" w:themeColor="background1"/>
                <w:sz w:val="20"/>
                <w:szCs w:val="20"/>
              </w:rPr>
              <w:t>ocena doboru wskaźnika</w:t>
            </w:r>
          </w:p>
        </w:tc>
        <w:tc>
          <w:tcPr>
            <w:tcW w:w="2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2870C7" w:rsidRDefault="00424449" w:rsidP="002B502A">
            <w:pPr>
              <w:spacing w:before="60" w:after="60"/>
              <w:jc w:val="center"/>
              <w:rPr>
                <w:rFonts w:eastAsia="Calibri" w:cstheme="minorHAnsi"/>
                <w:b/>
                <w:color w:val="FFFFFF" w:themeColor="background1"/>
                <w:sz w:val="20"/>
                <w:szCs w:val="20"/>
              </w:rPr>
            </w:pPr>
            <w:r w:rsidRPr="002870C7">
              <w:rPr>
                <w:rFonts w:eastAsia="Calibri" w:cstheme="minorHAnsi"/>
                <w:b/>
                <w:color w:val="FFFFFF" w:themeColor="background1"/>
                <w:sz w:val="20"/>
                <w:szCs w:val="20"/>
              </w:rPr>
              <w:t>ocena wartości docelowej</w:t>
            </w:r>
          </w:p>
        </w:tc>
      </w:tr>
      <w:tr w:rsidR="00424449" w:rsidRPr="002870C7" w:rsidTr="002B502A">
        <w:tc>
          <w:tcPr>
            <w:tcW w:w="40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tcPr>
          <w:p w:rsidR="00424449" w:rsidRPr="002870C7" w:rsidRDefault="00424449" w:rsidP="002B502A">
            <w:pPr>
              <w:pStyle w:val="NormalnyWeb"/>
              <w:spacing w:before="60" w:beforeAutospacing="0" w:after="60" w:afterAutospacing="0"/>
              <w:jc w:val="center"/>
              <w:rPr>
                <w:rFonts w:asciiTheme="minorHAnsi" w:hAnsiTheme="minorHAnsi" w:cstheme="minorHAnsi"/>
                <w:sz w:val="20"/>
                <w:szCs w:val="20"/>
              </w:rPr>
            </w:pPr>
            <w:r w:rsidRPr="002870C7">
              <w:rPr>
                <w:rFonts w:asciiTheme="minorHAnsi" w:hAnsiTheme="minorHAnsi" w:cstheme="minorHAnsi"/>
                <w:sz w:val="20"/>
                <w:szCs w:val="20"/>
              </w:rPr>
              <w:t>Liczba osób zagrożonych wykluczeniem społecznym objętych wsparciem w programie</w:t>
            </w:r>
          </w:p>
        </w:tc>
        <w:tc>
          <w:tcPr>
            <w:tcW w:w="27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wskaźnik dobrany prawidłowo</w:t>
            </w:r>
          </w:p>
        </w:tc>
        <w:tc>
          <w:tcPr>
            <w:tcW w:w="2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brak uwag</w:t>
            </w:r>
          </w:p>
        </w:tc>
      </w:tr>
      <w:tr w:rsidR="00424449" w:rsidRPr="002870C7" w:rsidTr="002B502A">
        <w:tc>
          <w:tcPr>
            <w:tcW w:w="40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2870C7" w:rsidRDefault="00424449" w:rsidP="002B502A">
            <w:pPr>
              <w:pStyle w:val="NormalnyWeb"/>
              <w:spacing w:before="60" w:beforeAutospacing="0" w:after="60" w:afterAutospacing="0"/>
              <w:jc w:val="center"/>
              <w:rPr>
                <w:rFonts w:asciiTheme="minorHAnsi" w:hAnsiTheme="minorHAnsi" w:cstheme="minorHAnsi"/>
                <w:sz w:val="20"/>
                <w:szCs w:val="20"/>
              </w:rPr>
            </w:pPr>
            <w:r w:rsidRPr="002870C7">
              <w:rPr>
                <w:rFonts w:asciiTheme="minorHAnsi" w:hAnsiTheme="minorHAnsi" w:cstheme="minorHAnsi"/>
                <w:sz w:val="20"/>
                <w:szCs w:val="20"/>
              </w:rPr>
              <w:t>Liczba osób zagrożonych wykluczeniem społecznym objętych usługami społecznymi lub zdrowotnymi w programie</w:t>
            </w:r>
          </w:p>
        </w:tc>
        <w:tc>
          <w:tcPr>
            <w:tcW w:w="27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wskaźnik dobrany prawidłowo</w:t>
            </w:r>
          </w:p>
        </w:tc>
        <w:tc>
          <w:tcPr>
            <w:tcW w:w="2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brak uwag</w:t>
            </w:r>
          </w:p>
        </w:tc>
      </w:tr>
      <w:tr w:rsidR="00424449" w:rsidRPr="002870C7" w:rsidTr="002B502A">
        <w:tc>
          <w:tcPr>
            <w:tcW w:w="403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vAlign w:val="center"/>
            <w:hideMark/>
          </w:tcPr>
          <w:p w:rsidR="00424449" w:rsidRPr="002870C7" w:rsidRDefault="00424449" w:rsidP="002B502A">
            <w:pPr>
              <w:pStyle w:val="NormalnyWeb"/>
              <w:spacing w:before="60" w:beforeAutospacing="0" w:after="60" w:afterAutospacing="0"/>
              <w:jc w:val="center"/>
              <w:rPr>
                <w:rFonts w:asciiTheme="minorHAnsi" w:hAnsiTheme="minorHAnsi" w:cstheme="minorHAnsi"/>
                <w:sz w:val="20"/>
                <w:szCs w:val="20"/>
              </w:rPr>
            </w:pPr>
            <w:r w:rsidRPr="002870C7">
              <w:rPr>
                <w:rFonts w:asciiTheme="minorHAnsi" w:hAnsiTheme="minorHAnsi" w:cstheme="minorHAnsi"/>
                <w:sz w:val="20"/>
                <w:szCs w:val="20"/>
              </w:rPr>
              <w:t>Całkowita kwota wydatków kwalifikowalnych</w:t>
            </w:r>
          </w:p>
        </w:tc>
        <w:tc>
          <w:tcPr>
            <w:tcW w:w="275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wskaźnik dobrany prawidłowo</w:t>
            </w:r>
          </w:p>
        </w:tc>
        <w:tc>
          <w:tcPr>
            <w:tcW w:w="244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2870C7" w:rsidRDefault="00424449" w:rsidP="002B502A">
            <w:pPr>
              <w:spacing w:before="60" w:after="60"/>
              <w:jc w:val="center"/>
              <w:rPr>
                <w:rFonts w:cstheme="minorHAnsi"/>
                <w:sz w:val="20"/>
                <w:szCs w:val="20"/>
              </w:rPr>
            </w:pPr>
            <w:r w:rsidRPr="002870C7">
              <w:rPr>
                <w:rFonts w:cstheme="minorHAnsi"/>
                <w:sz w:val="20"/>
                <w:szCs w:val="20"/>
              </w:rPr>
              <w:t>brak uwag</w:t>
            </w:r>
          </w:p>
        </w:tc>
      </w:tr>
    </w:tbl>
    <w:p w:rsidR="00424449" w:rsidRPr="007B1F62" w:rsidRDefault="00424449" w:rsidP="00424449">
      <w:pPr>
        <w:pStyle w:val="rdo"/>
        <w:rPr>
          <w:rFonts w:asciiTheme="minorHAnsi" w:hAnsiTheme="minorHAnsi"/>
        </w:rPr>
      </w:pPr>
      <w:r w:rsidRPr="007B1F62">
        <w:rPr>
          <w:rFonts w:asciiTheme="minorHAnsi" w:hAnsiTheme="minorHAnsi"/>
        </w:rPr>
        <w:t>Źródło: Opracowanie własne</w:t>
      </w:r>
    </w:p>
    <w:p w:rsidR="00424449" w:rsidRPr="007B6696" w:rsidRDefault="00424449" w:rsidP="00424449">
      <w:pPr>
        <w:pStyle w:val="Nagwek3"/>
        <w:rPr>
          <w:rFonts w:asciiTheme="minorHAnsi" w:hAnsiTheme="minorHAnsi"/>
          <w:color w:val="366092"/>
        </w:rPr>
      </w:pPr>
      <w:r w:rsidRPr="007B6696">
        <w:rPr>
          <w:rFonts w:asciiTheme="minorHAnsi" w:hAnsiTheme="minorHAnsi"/>
        </w:rPr>
        <w:t>Wkład w realizację celów dokumentów strategicznych i celów polityk horyzontalnych</w:t>
      </w:r>
    </w:p>
    <w:p w:rsidR="00424449" w:rsidRDefault="00424449" w:rsidP="00424449">
      <w:pPr>
        <w:pStyle w:val="Nagwek4"/>
      </w:pPr>
      <w:r>
        <w:t>Cele strategiczne na poziomie europejskim i polityki horyzontalne</w:t>
      </w:r>
    </w:p>
    <w:p w:rsidR="00424449" w:rsidRPr="00497A24" w:rsidRDefault="00424449" w:rsidP="00424449">
      <w:r>
        <w:t xml:space="preserve">Założenia i cele leżące u podstaw interwencji w ramach osi VIII i są spójne z wyzwaniami określonymi w kluczowym europejskim dokumencie strategicznym, tj. strategii </w:t>
      </w:r>
      <w:r>
        <w:rPr>
          <w:i/>
        </w:rPr>
        <w:t>Europa 2020</w:t>
      </w:r>
      <w:r>
        <w:t xml:space="preserve"> i jej inicjatywami przewodnimi. Przede wszystkim dotyczy to inicjatywy </w:t>
      </w:r>
      <w:r w:rsidRPr="00497A24">
        <w:rPr>
          <w:i/>
        </w:rPr>
        <w:t>Europejski program walki z ubóstwem</w:t>
      </w:r>
      <w:r>
        <w:rPr>
          <w:i/>
        </w:rPr>
        <w:t xml:space="preserve">, </w:t>
      </w:r>
      <w:r>
        <w:t>ale dostrzec można także części wspólne z</w:t>
      </w:r>
      <w:r w:rsidRPr="00497A24">
        <w:rPr>
          <w:i/>
        </w:rPr>
        <w:t xml:space="preserve"> Program</w:t>
      </w:r>
      <w:r>
        <w:rPr>
          <w:i/>
        </w:rPr>
        <w:t>em</w:t>
      </w:r>
      <w:r w:rsidRPr="00497A24">
        <w:rPr>
          <w:i/>
        </w:rPr>
        <w:t xml:space="preserve"> na rzecz nowych umiejętności i zatrudnienia</w:t>
      </w:r>
      <w:r>
        <w:rPr>
          <w:i/>
        </w:rPr>
        <w:t>.</w:t>
      </w:r>
    </w:p>
    <w:p w:rsidR="00424449" w:rsidRPr="0009230B" w:rsidRDefault="00424449" w:rsidP="00424449">
      <w:r>
        <w:t>Walka z ubóstwem jest również jednym z kluczowych celów Europy 2020 -</w:t>
      </w:r>
      <w:r w:rsidRPr="009D314D">
        <w:rPr>
          <w:i/>
        </w:rPr>
        <w:t>rozwój sprzyjający włączeniu społecznemu</w:t>
      </w:r>
      <w:r>
        <w:t>. Ze względu na złożoność zjawiska ubóstwa, konieczne jest uwzględnienie szerokiego spektrum działań, w tym także uwzględnienie faz cyklu życia i różnych potrzeb. Jednym z</w:t>
      </w:r>
      <w:r w:rsidR="002F7C58">
        <w:t> </w:t>
      </w:r>
      <w:r>
        <w:t xml:space="preserve"> elementów strategii jest poprawa dostępu do usług, w tym także usług zdrowotnych w celu ograniczania nierówności w dostępie. Wsparcia wymagają również rodziny z dziećmi oraz osoby starsze, co wiąże się z koniecznością zapewnienia dostępu do wysokiej jakości usług społecznej. </w:t>
      </w:r>
    </w:p>
    <w:p w:rsidR="00424449" w:rsidRPr="00AF0AE8" w:rsidRDefault="00424449" w:rsidP="00424449">
      <w:pPr>
        <w:pStyle w:val="CoffeyParagraph"/>
        <w:spacing w:before="0" w:after="200" w:line="276" w:lineRule="auto"/>
        <w:jc w:val="both"/>
        <w:rPr>
          <w:rFonts w:ascii="Calibri" w:hAnsi="Calibri"/>
          <w:sz w:val="22"/>
          <w:szCs w:val="22"/>
        </w:rPr>
      </w:pPr>
      <w:r>
        <w:rPr>
          <w:rFonts w:ascii="Calibri" w:hAnsi="Calibri"/>
          <w:sz w:val="22"/>
          <w:szCs w:val="22"/>
        </w:rPr>
        <w:t>Sektor ochrony zdrowia z kolei</w:t>
      </w:r>
      <w:r w:rsidRPr="007630EF">
        <w:rPr>
          <w:rFonts w:ascii="Calibri" w:hAnsi="Calibri"/>
          <w:sz w:val="22"/>
          <w:szCs w:val="22"/>
        </w:rPr>
        <w:t xml:space="preserve">, w przeciwieństwie do transportu, energetyki itd., nie został </w:t>
      </w:r>
      <w:r>
        <w:rPr>
          <w:rFonts w:ascii="Calibri" w:hAnsi="Calibri"/>
          <w:sz w:val="22"/>
          <w:szCs w:val="22"/>
        </w:rPr>
        <w:t xml:space="preserve">on potraktowany </w:t>
      </w:r>
      <w:r w:rsidRPr="007630EF">
        <w:rPr>
          <w:rFonts w:ascii="Calibri" w:hAnsi="Calibri"/>
          <w:sz w:val="22"/>
          <w:szCs w:val="22"/>
        </w:rPr>
        <w:t>jako odrębny w strategiach europejskich i krajowych. Rozwiązywanie problemów zdrowotnych lub dostarczanie usług medycznych podporządkowane są innym celom leżącym poza ścisłe rozumianymi granicami systemu ochrony zdrowia. Niemalże zawsze są to cele związane z</w:t>
      </w:r>
      <w:r w:rsidR="002F7C58">
        <w:rPr>
          <w:rFonts w:ascii="Calibri" w:hAnsi="Calibri"/>
          <w:sz w:val="22"/>
          <w:szCs w:val="22"/>
        </w:rPr>
        <w:t> </w:t>
      </w:r>
      <w:r w:rsidRPr="007630EF">
        <w:rPr>
          <w:rFonts w:ascii="Calibri" w:hAnsi="Calibri"/>
          <w:sz w:val="22"/>
          <w:szCs w:val="22"/>
        </w:rPr>
        <w:t xml:space="preserve"> redukcją </w:t>
      </w:r>
      <w:r w:rsidRPr="00AF0AE8">
        <w:rPr>
          <w:rFonts w:ascii="Calibri" w:hAnsi="Calibri"/>
          <w:sz w:val="22"/>
          <w:szCs w:val="22"/>
        </w:rPr>
        <w:t xml:space="preserve">ubóstwa. Obecność usług medycznych tłumaczona jest tutaj dwojako. Są one rozpatrywane jako element lub przyczyna ubóstwa i wykluczenia społecznego. W pierwszym rozumieniu brak dostępu do usług jest jednym z wymiarów wykluczenia społecznego. W drugim zaś ograniczenie możliwości zaspokojenia potrzeb zdrowotnych prowadzi do obniżenia zdolności do pracy i możliwości uzyskiwania dochodów na odpowiednim poziomie. </w:t>
      </w:r>
      <w:r w:rsidRPr="002307F7">
        <w:rPr>
          <w:rFonts w:ascii="Calibri" w:hAnsi="Calibri"/>
          <w:sz w:val="22"/>
          <w:szCs w:val="22"/>
        </w:rPr>
        <w:t xml:space="preserve">Niezależenie od przyjętej perspektyw interwencja </w:t>
      </w:r>
      <w:r>
        <w:rPr>
          <w:rFonts w:ascii="Calibri" w:hAnsi="Calibri"/>
          <w:sz w:val="22"/>
          <w:szCs w:val="22"/>
        </w:rPr>
        <w:t>dotycząca usług medycznych</w:t>
      </w:r>
      <w:r w:rsidRPr="002307F7">
        <w:rPr>
          <w:rFonts w:ascii="Calibri" w:hAnsi="Calibri"/>
          <w:sz w:val="22"/>
          <w:szCs w:val="22"/>
        </w:rPr>
        <w:t xml:space="preserve"> odpowiada strategiom krajowym i</w:t>
      </w:r>
      <w:r w:rsidR="002F7C58">
        <w:rPr>
          <w:rFonts w:ascii="Calibri" w:hAnsi="Calibri"/>
          <w:sz w:val="22"/>
          <w:szCs w:val="22"/>
        </w:rPr>
        <w:t> </w:t>
      </w:r>
      <w:r w:rsidRPr="002307F7">
        <w:rPr>
          <w:rFonts w:ascii="Calibri" w:hAnsi="Calibri"/>
          <w:sz w:val="22"/>
          <w:szCs w:val="22"/>
        </w:rPr>
        <w:t xml:space="preserve"> europejskim</w:t>
      </w:r>
      <w:r w:rsidRPr="00AF0AE8">
        <w:rPr>
          <w:rFonts w:ascii="Calibri" w:hAnsi="Calibri"/>
          <w:sz w:val="22"/>
          <w:szCs w:val="22"/>
        </w:rPr>
        <w:t xml:space="preserve">. </w:t>
      </w:r>
    </w:p>
    <w:p w:rsidR="00424449" w:rsidRDefault="00424449" w:rsidP="00424449">
      <w:r>
        <w:t xml:space="preserve">Działania planowane do realizacji w osi VIII w bezpośredni sposób przyczynią się również do realizacji zasady równości szans i niedyskryminacji. Planowane inwestycje wyrównają dostęp do usług, w tym szczególnie osób w trudnej sytuacji. </w:t>
      </w:r>
    </w:p>
    <w:p w:rsidR="00424449" w:rsidRDefault="00424449" w:rsidP="00424449">
      <w:pPr>
        <w:pStyle w:val="Nagwek4"/>
      </w:pPr>
      <w:r>
        <w:lastRenderedPageBreak/>
        <w:t>Cele strategiczne na poziomie krajowym</w:t>
      </w:r>
    </w:p>
    <w:p w:rsidR="00424449" w:rsidRDefault="00424449" w:rsidP="00424449">
      <w:pPr>
        <w:rPr>
          <w:rFonts w:ascii="Calibri" w:hAnsi="Calibri"/>
        </w:rPr>
      </w:pPr>
      <w:r>
        <w:rPr>
          <w:rFonts w:ascii="Calibri" w:hAnsi="Calibri"/>
        </w:rPr>
        <w:t>Strategia rozwoju kraju stawia kwestie ubóstwa i integracji jako jeden z ważniejszych obszarów interwencji publicznej. Odpowiada temu cel strategiczny III</w:t>
      </w:r>
      <w:r w:rsidRPr="00F30B73">
        <w:rPr>
          <w:rFonts w:ascii="Calibri" w:hAnsi="Calibri"/>
        </w:rPr>
        <w:t>. Spójność społeczna i terytorialna</w:t>
      </w:r>
      <w:r>
        <w:rPr>
          <w:rFonts w:ascii="Calibri" w:hAnsi="Calibri"/>
        </w:rPr>
        <w:t>. W</w:t>
      </w:r>
      <w:r w:rsidR="002F7C58">
        <w:rPr>
          <w:rFonts w:ascii="Calibri" w:hAnsi="Calibri"/>
        </w:rPr>
        <w:t> </w:t>
      </w:r>
      <w:r>
        <w:rPr>
          <w:rFonts w:ascii="Calibri" w:hAnsi="Calibri"/>
        </w:rPr>
        <w:t xml:space="preserve"> szczególności wiele punktów spójnych z RPO dostrzec można w celach </w:t>
      </w:r>
      <w:r w:rsidRPr="00F30B73">
        <w:rPr>
          <w:rFonts w:ascii="Calibri" w:hAnsi="Calibri"/>
        </w:rPr>
        <w:t>III.1.1. Zwiększenie aktywności osób wykluczonych i zagrożonych</w:t>
      </w:r>
      <w:r>
        <w:rPr>
          <w:rFonts w:ascii="Calibri" w:hAnsi="Calibri"/>
        </w:rPr>
        <w:t xml:space="preserve"> wykluczeniem społecznym, </w:t>
      </w:r>
      <w:r w:rsidRPr="00F30B73">
        <w:rPr>
          <w:rFonts w:ascii="Calibri" w:hAnsi="Calibri"/>
        </w:rPr>
        <w:t>III.1.2. Zmniejszenie ubóstwa w grup</w:t>
      </w:r>
      <w:r>
        <w:rPr>
          <w:rFonts w:ascii="Calibri" w:hAnsi="Calibri"/>
        </w:rPr>
        <w:t xml:space="preserve">ach najbardziej nim zagrożonych, </w:t>
      </w:r>
      <w:r w:rsidRPr="00F30B73">
        <w:rPr>
          <w:rFonts w:ascii="Calibri" w:hAnsi="Calibri"/>
        </w:rPr>
        <w:t>III.2.1. Podnoszenie jakości i dostępności usług publicznych</w:t>
      </w:r>
      <w:r>
        <w:rPr>
          <w:rFonts w:ascii="Calibri" w:hAnsi="Calibri"/>
        </w:rPr>
        <w:t xml:space="preserve">, </w:t>
      </w:r>
      <w:r w:rsidRPr="00F30B73">
        <w:rPr>
          <w:rFonts w:ascii="Calibri" w:hAnsi="Calibri"/>
        </w:rPr>
        <w:t>III.2.2. Zwiększenie efektywności systemu świadczenia usług publicznych.</w:t>
      </w:r>
      <w:r>
        <w:rPr>
          <w:rFonts w:ascii="Calibri" w:hAnsi="Calibri"/>
        </w:rPr>
        <w:t xml:space="preserve"> W tym sensie projekt RPO przyczynia się do osiągnięcia szeregu ważnych celów SRK. </w:t>
      </w:r>
    </w:p>
    <w:p w:rsidR="00424449" w:rsidRDefault="00424449" w:rsidP="00424449">
      <w:pPr>
        <w:rPr>
          <w:rFonts w:ascii="Calibri" w:hAnsi="Calibri"/>
        </w:rPr>
      </w:pPr>
      <w:r>
        <w:rPr>
          <w:rFonts w:ascii="Calibri" w:hAnsi="Calibri"/>
        </w:rPr>
        <w:t>Równie wysoką spójność dostrzec można ze Strategia rozwoju Kapitału Ludzkiego, w c</w:t>
      </w:r>
      <w:r w:rsidRPr="00B958B2">
        <w:rPr>
          <w:rFonts w:ascii="Calibri" w:hAnsi="Calibri"/>
        </w:rPr>
        <w:t>el</w:t>
      </w:r>
      <w:r>
        <w:rPr>
          <w:rFonts w:ascii="Calibri" w:hAnsi="Calibri"/>
        </w:rPr>
        <w:t>u</w:t>
      </w:r>
      <w:r w:rsidRPr="00B958B2">
        <w:rPr>
          <w:rFonts w:ascii="Calibri" w:hAnsi="Calibri"/>
        </w:rPr>
        <w:t xml:space="preserve"> szczegółowy</w:t>
      </w:r>
      <w:r>
        <w:rPr>
          <w:rFonts w:ascii="Calibri" w:hAnsi="Calibri"/>
        </w:rPr>
        <w:t>m</w:t>
      </w:r>
      <w:r w:rsidRPr="00B958B2">
        <w:rPr>
          <w:rFonts w:ascii="Calibri" w:hAnsi="Calibri"/>
        </w:rPr>
        <w:t xml:space="preserve"> 2: Wydłużenie okresu akt</w:t>
      </w:r>
      <w:r>
        <w:rPr>
          <w:rFonts w:ascii="Calibri" w:hAnsi="Calibri"/>
        </w:rPr>
        <w:t xml:space="preserve">ywności zawodowej i zapewnienie </w:t>
      </w:r>
      <w:r w:rsidRPr="00B958B2">
        <w:rPr>
          <w:rFonts w:ascii="Calibri" w:hAnsi="Calibri"/>
        </w:rPr>
        <w:t>lepszej jakości funkcjonowania osób starszych</w:t>
      </w:r>
      <w:r>
        <w:rPr>
          <w:rFonts w:ascii="Calibri" w:hAnsi="Calibri"/>
        </w:rPr>
        <w:t xml:space="preserve"> oraz </w:t>
      </w:r>
      <w:r w:rsidRPr="00B958B2">
        <w:rPr>
          <w:rFonts w:ascii="Calibri" w:hAnsi="Calibri"/>
        </w:rPr>
        <w:t xml:space="preserve">3: Poprawa sytuacji osób </w:t>
      </w:r>
      <w:r>
        <w:rPr>
          <w:rFonts w:ascii="Calibri" w:hAnsi="Calibri"/>
        </w:rPr>
        <w:t xml:space="preserve">i grup zagrożonych wykluczeniem </w:t>
      </w:r>
      <w:r w:rsidRPr="00B958B2">
        <w:rPr>
          <w:rFonts w:ascii="Calibri" w:hAnsi="Calibri"/>
        </w:rPr>
        <w:t>społecznym</w:t>
      </w:r>
      <w:r>
        <w:rPr>
          <w:rFonts w:ascii="Calibri" w:hAnsi="Calibri"/>
        </w:rPr>
        <w:t xml:space="preserve">. </w:t>
      </w:r>
    </w:p>
    <w:p w:rsidR="00424449" w:rsidRPr="00DB45CD" w:rsidRDefault="00424449" w:rsidP="00424449">
      <w:pPr>
        <w:rPr>
          <w:rFonts w:ascii="Calibri" w:hAnsi="Calibri"/>
        </w:rPr>
      </w:pPr>
      <w:r>
        <w:rPr>
          <w:rFonts w:ascii="Calibri" w:hAnsi="Calibri"/>
        </w:rPr>
        <w:t xml:space="preserve">Integracja społeczna i walka z ubóstwem są także obszarem interwencji w ramach KSRR. Tam, jedynym z trzech głównych priorytetów jest </w:t>
      </w:r>
      <w:r w:rsidRPr="00CF17B0">
        <w:rPr>
          <w:rFonts w:ascii="Calibri" w:hAnsi="Calibri"/>
        </w:rPr>
        <w:t>Budowanie spójności terytorialnej i przeciwdz</w:t>
      </w:r>
      <w:r>
        <w:rPr>
          <w:rFonts w:ascii="Calibri" w:hAnsi="Calibri"/>
        </w:rPr>
        <w:t xml:space="preserve">iałanie marginalizacji obszarów </w:t>
      </w:r>
      <w:r w:rsidRPr="00CF17B0">
        <w:rPr>
          <w:rFonts w:ascii="Calibri" w:hAnsi="Calibri"/>
        </w:rPr>
        <w:t>problemowych</w:t>
      </w:r>
      <w:r>
        <w:rPr>
          <w:rFonts w:ascii="Calibri" w:hAnsi="Calibri"/>
        </w:rPr>
        <w:t xml:space="preserve">. W zakresie „wzmacniania spójności w układzie krajowym” wysoką rangę otrzymują działania związane z </w:t>
      </w:r>
      <w:r w:rsidRPr="00DB45CD">
        <w:rPr>
          <w:rFonts w:ascii="Calibri" w:hAnsi="Calibri"/>
        </w:rPr>
        <w:t>aktywizacj</w:t>
      </w:r>
      <w:r>
        <w:rPr>
          <w:rFonts w:ascii="Calibri" w:hAnsi="Calibri"/>
        </w:rPr>
        <w:t>ą</w:t>
      </w:r>
      <w:r w:rsidRPr="00DB45CD">
        <w:rPr>
          <w:rFonts w:ascii="Calibri" w:hAnsi="Calibri"/>
        </w:rPr>
        <w:t xml:space="preserve"> zawodową osób pozostających bez pracy </w:t>
      </w:r>
      <w:r>
        <w:rPr>
          <w:rFonts w:ascii="Calibri" w:hAnsi="Calibri"/>
        </w:rPr>
        <w:t xml:space="preserve">oraz </w:t>
      </w:r>
      <w:r w:rsidRPr="00DB45CD">
        <w:rPr>
          <w:rFonts w:ascii="Calibri" w:hAnsi="Calibri"/>
        </w:rPr>
        <w:t>wsparcie rozwoju przedsiębiorczości</w:t>
      </w:r>
      <w:r>
        <w:rPr>
          <w:rFonts w:ascii="Calibri" w:hAnsi="Calibri"/>
        </w:rPr>
        <w:t xml:space="preserve"> (w tym miejscu PI przyczynia się do osiągniecia celów KSRR przez rozwój przedsiębiorczości społecznej). </w:t>
      </w:r>
    </w:p>
    <w:p w:rsidR="00424449" w:rsidRDefault="00424449" w:rsidP="00424449">
      <w:pPr>
        <w:pStyle w:val="Nagwek4"/>
      </w:pPr>
      <w:r>
        <w:t>Cele strategiczne województwa podkarpackiego</w:t>
      </w:r>
    </w:p>
    <w:p w:rsidR="00424449" w:rsidRDefault="00424449" w:rsidP="002B502A">
      <w:r>
        <w:t xml:space="preserve">Oś priorytetowa w znaczącym stopniu przyczynia się do osiągnięcia oczekiwanych efektów interwencji w ramach </w:t>
      </w:r>
      <w:r w:rsidRPr="00742CD5">
        <w:rPr>
          <w:i/>
        </w:rPr>
        <w:t>Wzrost poziomu adaptacyjności zawodowej i integracji społecznej w regionie</w:t>
      </w:r>
      <w:r w:rsidRPr="00742CD5">
        <w:t xml:space="preserve"> SRWP</w:t>
      </w:r>
      <w:r>
        <w:t>:</w:t>
      </w:r>
    </w:p>
    <w:p w:rsidR="00424449" w:rsidRPr="00742CD5" w:rsidRDefault="00424449" w:rsidP="006E6138">
      <w:pPr>
        <w:pStyle w:val="Akapitzlist"/>
        <w:numPr>
          <w:ilvl w:val="0"/>
          <w:numId w:val="35"/>
        </w:numPr>
      </w:pPr>
      <w:r w:rsidRPr="002B502A">
        <w:rPr>
          <w:i/>
        </w:rPr>
        <w:t>rozwój nowych form wsparcia indywidualnego i środowiskowego umożliwiających integrację zawodową i społeczną</w:t>
      </w:r>
      <w:r w:rsidRPr="00742CD5">
        <w:t xml:space="preserve">, </w:t>
      </w:r>
      <w:r>
        <w:t>poprzez PI 9.4</w:t>
      </w:r>
    </w:p>
    <w:p w:rsidR="00424449" w:rsidRDefault="00424449" w:rsidP="006E6138">
      <w:pPr>
        <w:pStyle w:val="Akapitzlist"/>
        <w:numPr>
          <w:ilvl w:val="0"/>
          <w:numId w:val="35"/>
        </w:numPr>
      </w:pPr>
      <w:r w:rsidRPr="00742CD5">
        <w:t>umożliwienie osobom o najniższych kwalifikacjach udziału w bezpłatnych szkoleniach i</w:t>
      </w:r>
      <w:r w:rsidR="002F7C58">
        <w:t> </w:t>
      </w:r>
      <w:r w:rsidRPr="00742CD5">
        <w:t xml:space="preserve"> kursach podnoszących ich kwalifikacje, </w:t>
      </w:r>
      <w:r>
        <w:t>poprzez PI 9.4</w:t>
      </w:r>
    </w:p>
    <w:p w:rsidR="00424449" w:rsidRDefault="00424449" w:rsidP="006E6138">
      <w:pPr>
        <w:pStyle w:val="Akapitzlist"/>
        <w:numPr>
          <w:ilvl w:val="0"/>
          <w:numId w:val="35"/>
        </w:numPr>
      </w:pPr>
      <w:r w:rsidRPr="00742CD5">
        <w:t>reintegracja społeczna i zawodowa poprzez rozwój ekonomii społecznej, w tym m.in. w</w:t>
      </w:r>
      <w:r w:rsidR="002F7C58">
        <w:t> </w:t>
      </w:r>
      <w:r w:rsidRPr="00742CD5">
        <w:t xml:space="preserve"> oparciu o spółdzielnie socjalne, </w:t>
      </w:r>
      <w:r>
        <w:t>poprzez PI 9.8</w:t>
      </w:r>
    </w:p>
    <w:p w:rsidR="00424449" w:rsidRDefault="00424449" w:rsidP="006E6138">
      <w:pPr>
        <w:pStyle w:val="Akapitzlist"/>
        <w:numPr>
          <w:ilvl w:val="0"/>
          <w:numId w:val="35"/>
        </w:numPr>
      </w:pPr>
      <w:r w:rsidRPr="002B502A">
        <w:rPr>
          <w:i/>
        </w:rPr>
        <w:t>rozwój środowiskowych form wsparcia na rzecz dzieci, osób starszych i niepełnosprawnych</w:t>
      </w:r>
      <w:r w:rsidRPr="00D843AA">
        <w:t>,</w:t>
      </w:r>
      <w:r>
        <w:t xml:space="preserve"> poprzez PI 9.7</w:t>
      </w:r>
    </w:p>
    <w:p w:rsidR="00424449" w:rsidRPr="00742CD5" w:rsidRDefault="00424449" w:rsidP="002B502A">
      <w:r>
        <w:t xml:space="preserve">Priorytet inwestycyjny 9.7 odpowiada ponadto celowi </w:t>
      </w:r>
      <w:r w:rsidRPr="00D92B2A">
        <w:rPr>
          <w:i/>
        </w:rPr>
        <w:t>Zwiększenie bezpieczeństwa zdrowotnego społeczeństwa poprzez poprawę dostępności i jakości funkcjonowania systemu ochrony zdrowia</w:t>
      </w:r>
      <w:r w:rsidRPr="00D92B2A">
        <w:t xml:space="preserve">, </w:t>
      </w:r>
      <w:r>
        <w:t>szczególnie zaś sprzyja poprawie dostępu do usług medycznych. Ponadto spójny jest z interwencją SRWP w zakresie dostępności i jakości usług społecznych. Przyczynia się prze to do osiągniecia celu</w:t>
      </w:r>
      <w:r w:rsidR="002B502A">
        <w:t>.</w:t>
      </w:r>
    </w:p>
    <w:p w:rsidR="00424449" w:rsidRDefault="00424449">
      <w:pPr>
        <w:jc w:val="left"/>
        <w:rPr>
          <w:rFonts w:eastAsiaTheme="majorEastAsia" w:cstheme="majorBidi"/>
          <w:b/>
          <w:bCs/>
          <w:color w:val="366092" w:themeColor="accent1"/>
          <w:sz w:val="26"/>
          <w:szCs w:val="26"/>
        </w:rPr>
      </w:pPr>
      <w:r>
        <w:br w:type="page"/>
      </w:r>
    </w:p>
    <w:p w:rsidR="00424449" w:rsidRPr="003E6234" w:rsidRDefault="00424449" w:rsidP="00BC2878">
      <w:pPr>
        <w:pStyle w:val="Nagwek2"/>
        <w:rPr>
          <w:rFonts w:asciiTheme="minorHAnsi" w:hAnsiTheme="minorHAnsi"/>
          <w:i/>
        </w:rPr>
      </w:pPr>
      <w:bookmarkStart w:id="26" w:name="_Toc384914410"/>
      <w:r w:rsidRPr="003E6234">
        <w:rPr>
          <w:rFonts w:asciiTheme="minorHAnsi" w:hAnsiTheme="minorHAnsi"/>
        </w:rPr>
        <w:lastRenderedPageBreak/>
        <w:t>Oś priorytetowa IX.</w:t>
      </w:r>
      <w:r w:rsidRPr="003E6234">
        <w:rPr>
          <w:rFonts w:asciiTheme="minorHAnsi" w:hAnsiTheme="minorHAnsi"/>
          <w:i/>
        </w:rPr>
        <w:t xml:space="preserve"> Jakość edukacji i kompetencji w regionie</w:t>
      </w:r>
      <w:bookmarkEnd w:id="26"/>
    </w:p>
    <w:p w:rsidR="00424449" w:rsidRPr="003E6234" w:rsidRDefault="00424449" w:rsidP="00BC2878">
      <w:pPr>
        <w:pStyle w:val="Nagwek3"/>
        <w:rPr>
          <w:rFonts w:asciiTheme="minorHAnsi" w:hAnsiTheme="minorHAnsi"/>
        </w:rPr>
      </w:pPr>
      <w:r w:rsidRPr="003E6234">
        <w:rPr>
          <w:rFonts w:asciiTheme="minorHAnsi" w:hAnsiTheme="minorHAnsi"/>
        </w:rPr>
        <w:t>Ocena przesłanek interwencji</w:t>
      </w:r>
    </w:p>
    <w:p w:rsidR="00424449" w:rsidRPr="003E6234" w:rsidRDefault="00424449" w:rsidP="00424449">
      <w:r w:rsidRPr="003E6234">
        <w:t xml:space="preserve">Diagnoza zawarta w sekcji 1 RPO WP 2014-2020 jest solidna i właściwie uzasadnia interwencję planowaną w ramach osi IX: </w:t>
      </w:r>
      <w:r w:rsidRPr="003E6234">
        <w:rPr>
          <w:i/>
          <w:iCs/>
        </w:rPr>
        <w:t>Jakość edukacji i kompetencji w regio</w:t>
      </w:r>
      <w:r w:rsidRPr="003E6234">
        <w:t>nie. Została opracowana w oparciu o dokumenty strategiczne, wyniki badań i analizy oraz dane statystyczne odnoszące się do kluczowych elementów systemu edukacji z punktu widzenia osiągania spójności gospodarczo-społecznej.</w:t>
      </w:r>
    </w:p>
    <w:p w:rsidR="00424449" w:rsidRPr="003E6234" w:rsidRDefault="00424449" w:rsidP="00BC2878">
      <w:r w:rsidRPr="003E6234">
        <w:t>Można przy tym wskazać na dodatkowe przesłanki interwencji w kontekście problemów zidentyfikowanych w krajowych i europejskich dokumentach strategicznych. Dotyczy to sytuacji uczniów o specjalnych potrzebach edukacyjnych i związanej z tym problematyki przeciwdziałania przedwczesnemu kończeniu nauki (zapisy strategii Europa 2020, uwzględnione m.in. w Krajowym Programie Reform).</w:t>
      </w:r>
    </w:p>
    <w:p w:rsidR="00424449" w:rsidRPr="003E6234" w:rsidRDefault="00424449" w:rsidP="00BC2878">
      <w:r w:rsidRPr="003E6234">
        <w:t>Biorąc pod uwagę planowany zakres interwencji oraz niedostatek wiedzy o specyficznych obszarach, w początkowym etapie wdrażania wskazane jest rozpoznania przyczyn zjawisk wskazanych w</w:t>
      </w:r>
      <w:r w:rsidR="002F7C58">
        <w:t> </w:t>
      </w:r>
      <w:r w:rsidRPr="003E6234">
        <w:t xml:space="preserve"> diagnozie oraz ewentualne uwzględnienie tych wniosków w dokumentach wdrożeniowych RPO WP 2014-2020 na podstawie wyników badań. Wskazane jest, aby analizy te dotyczyły takich tematów jak:</w:t>
      </w:r>
    </w:p>
    <w:p w:rsidR="00424449" w:rsidRPr="003E6234" w:rsidRDefault="00424449" w:rsidP="000965A8">
      <w:pPr>
        <w:pStyle w:val="Akapitzlist"/>
        <w:numPr>
          <w:ilvl w:val="0"/>
          <w:numId w:val="20"/>
        </w:numPr>
      </w:pPr>
      <w:r w:rsidRPr="003E6234">
        <w:t xml:space="preserve">skala, efektywność i wpływ współpracy podmiotów kształcących zawodowo (przede wszystkim szkół zawodowych) z </w:t>
      </w:r>
      <w:r w:rsidRPr="003E6234">
        <w:rPr>
          <w:rFonts w:eastAsia="Times New Roman" w:cs="Arial"/>
          <w:iCs/>
          <w:color w:val="000000"/>
        </w:rPr>
        <w:t>przedsiębiorstwami i organizacjami zrzeszającymi pracodawców</w:t>
      </w:r>
      <w:r w:rsidRPr="003E6234">
        <w:t xml:space="preserve"> na jakość efektów nauczania</w:t>
      </w:r>
      <w:r w:rsidRPr="003E6234">
        <w:rPr>
          <w:rFonts w:eastAsia="Times New Roman" w:cs="Arial"/>
          <w:iCs/>
          <w:color w:val="000000"/>
        </w:rPr>
        <w:t>,</w:t>
      </w:r>
    </w:p>
    <w:p w:rsidR="00424449" w:rsidRPr="003E6234" w:rsidRDefault="00424449" w:rsidP="000965A8">
      <w:pPr>
        <w:pStyle w:val="Akapitzlist"/>
        <w:numPr>
          <w:ilvl w:val="0"/>
          <w:numId w:val="20"/>
        </w:numPr>
      </w:pPr>
      <w:r w:rsidRPr="003E6234">
        <w:rPr>
          <w:rFonts w:cs="Arial"/>
          <w:iCs/>
        </w:rPr>
        <w:t>jakość i skuteczność poradnictwa zawodowego oraz oczekiwania wobec tego typu usług,</w:t>
      </w:r>
    </w:p>
    <w:p w:rsidR="00424449" w:rsidRPr="003E6234" w:rsidRDefault="00424449" w:rsidP="000965A8">
      <w:pPr>
        <w:pStyle w:val="Akapitzlist"/>
        <w:numPr>
          <w:ilvl w:val="0"/>
          <w:numId w:val="20"/>
        </w:numPr>
      </w:pPr>
      <w:r w:rsidRPr="003E6234">
        <w:t>efektywność systemu pracy z uczniami o szczególnych potrzebach edukacyjnych,</w:t>
      </w:r>
    </w:p>
    <w:p w:rsidR="00424449" w:rsidRPr="003E6234" w:rsidRDefault="00424449" w:rsidP="000965A8">
      <w:pPr>
        <w:pStyle w:val="Akapitzlist"/>
        <w:numPr>
          <w:ilvl w:val="0"/>
          <w:numId w:val="20"/>
        </w:numPr>
      </w:pPr>
      <w:r w:rsidRPr="003E6234">
        <w:t>zróżnicowanie potrzeb edukacyjnych i dostęp do usług kształcenia zawodowego w grupach różniących się pod względem płci, wieku, miejsca zamieszkania oraz wynikająca z tego sytuacja tych grup na rynku pracy.</w:t>
      </w:r>
    </w:p>
    <w:p w:rsidR="00424449" w:rsidRPr="003E6234" w:rsidRDefault="00424449" w:rsidP="00424449">
      <w:r w:rsidRPr="003E6234">
        <w:t>Wskazane w części diagnostycznej wyzwania, a także oczekiwane efekty interwencji zostały sformułowane poprawnie i spójnie. Stanowią także odpowiednie logiczne połączenie pomiędzy częścią diagnostyczną a projekcyjną.</w:t>
      </w:r>
    </w:p>
    <w:p w:rsidR="00424449" w:rsidRPr="003E6234" w:rsidRDefault="00424449" w:rsidP="00BC2878">
      <w:pPr>
        <w:pStyle w:val="Nagwek3"/>
        <w:rPr>
          <w:rFonts w:asciiTheme="minorHAnsi" w:hAnsiTheme="minorHAnsi"/>
        </w:rPr>
      </w:pPr>
      <w:r w:rsidRPr="003E6234">
        <w:rPr>
          <w:rFonts w:asciiTheme="minorHAnsi" w:hAnsiTheme="minorHAnsi"/>
        </w:rPr>
        <w:t>Ocena logiki interwencji i proponowanych form wsparcia</w:t>
      </w:r>
    </w:p>
    <w:p w:rsidR="00424449" w:rsidRPr="003E6234" w:rsidRDefault="00424449" w:rsidP="00BC2878">
      <w:pPr>
        <w:pStyle w:val="Nagwek4"/>
        <w:rPr>
          <w:rFonts w:asciiTheme="minorHAnsi" w:hAnsiTheme="minorHAnsi"/>
        </w:rPr>
      </w:pPr>
      <w:r w:rsidRPr="003E6234">
        <w:rPr>
          <w:rFonts w:asciiTheme="minorHAnsi" w:hAnsiTheme="minorHAnsi"/>
        </w:rPr>
        <w:t>Poziom osi priorytetowej</w:t>
      </w:r>
    </w:p>
    <w:p w:rsidR="00424449" w:rsidRPr="003E6234" w:rsidRDefault="00424449" w:rsidP="00BC2878">
      <w:pPr>
        <w:rPr>
          <w:bCs/>
          <w:iCs/>
        </w:rPr>
      </w:pPr>
      <w:r w:rsidRPr="003E6234">
        <w:t>Cele szczegółowe wyznaczone w priorytetach inwestycyjnych 10.1, 10.3 oraz 10.3 Bis są merytorycznie uzasadnione i odpowiadają na problemy wskazane w części diagnostycznej. Z tego punktu widzenia projekt RPO WP 2014-2020 w bardzo dużym stopniu odpowiada na wyzwania stojące przed systemem edukacji w regionie</w:t>
      </w:r>
      <w:r w:rsidRPr="003E6234">
        <w:rPr>
          <w:i/>
          <w:iCs/>
        </w:rPr>
        <w:t xml:space="preserve">. </w:t>
      </w:r>
      <w:r w:rsidRPr="003E6234">
        <w:t xml:space="preserve">Przedsięwzięcia zaplanowane i opisane w osi priorytetowej IX tworzą spójny, kompleksowy system działań, ukierunkowanych na podniesienie jakości i dostępności edukacji w województwie podkarpackim. Pakiet interwencji ma duże szanse zmniejszyć bariery stojące na drodze osiągnięcia założonych celów rozwojowych województwa, związanych z edukacją. Pozytywnie oceniony został dobór priorytetów inwestycyjnych. Interwencja </w:t>
      </w:r>
      <w:r w:rsidRPr="003E6234">
        <w:lastRenderedPageBreak/>
        <w:t>jest dodatkowo uzasadniona ze względu na konieczność koncentracji polityki publicznej na następujących kwestiach:</w:t>
      </w:r>
    </w:p>
    <w:p w:rsidR="00424449" w:rsidRPr="003E6234" w:rsidRDefault="00424449" w:rsidP="000965A8">
      <w:pPr>
        <w:pStyle w:val="Akapitzlist"/>
        <w:numPr>
          <w:ilvl w:val="0"/>
          <w:numId w:val="21"/>
        </w:numPr>
        <w:ind w:left="714" w:hanging="357"/>
        <w:contextualSpacing w:val="0"/>
        <w:rPr>
          <w:rFonts w:eastAsia="Calibri"/>
        </w:rPr>
      </w:pPr>
      <w:r w:rsidRPr="003E6234">
        <w:t>wzrost jakości kształcenia ogólnego oraz zawodowego jest nieodłącznym elementem działań służących redukcji problemu przedwczesnego kończenia nauki,</w:t>
      </w:r>
      <w:r w:rsidRPr="003E6234">
        <w:rPr>
          <w:rStyle w:val="Odwoanieprzypisudolnego"/>
        </w:rPr>
        <w:footnoteReference w:id="99"/>
      </w:r>
    </w:p>
    <w:p w:rsidR="00424449" w:rsidRPr="003E6234" w:rsidRDefault="00424449" w:rsidP="000965A8">
      <w:pPr>
        <w:pStyle w:val="Akapitzlist"/>
        <w:numPr>
          <w:ilvl w:val="0"/>
          <w:numId w:val="21"/>
        </w:numPr>
        <w:ind w:left="714" w:hanging="357"/>
        <w:contextualSpacing w:val="0"/>
      </w:pPr>
      <w:r w:rsidRPr="003E6234">
        <w:t>zwiększenie odsetka dzieci objętych wychowaniem przedszkolnym, poprzez tworzenie nowych miejsc opieki przedszkolnej, a także wsparcie dzieci i młodzieży z niskimi osiągnięciami edukacyjnymi, przy upowszechnianiu udoskonalonych form kształcenia i wsparciu rozwoju nauczycieli służą zapewnieniu równego dostępu do dobrej jakości edukacji elementarnej, kształcenia podstawowego i ponadpodstawowego,</w:t>
      </w:r>
      <w:r w:rsidRPr="003E6234">
        <w:rPr>
          <w:rStyle w:val="Odwoanieprzypisudolnego"/>
        </w:rPr>
        <w:footnoteReference w:id="100"/>
      </w:r>
    </w:p>
    <w:p w:rsidR="00424449" w:rsidRPr="003E6234" w:rsidRDefault="00424449" w:rsidP="000965A8">
      <w:pPr>
        <w:pStyle w:val="Akapitzlist"/>
        <w:numPr>
          <w:ilvl w:val="0"/>
          <w:numId w:val="21"/>
        </w:numPr>
        <w:ind w:left="714" w:hanging="357"/>
        <w:contextualSpacing w:val="0"/>
      </w:pPr>
      <w:r w:rsidRPr="003E6234">
        <w:t>działania przewidziane w ramach rozwoju wysokiej jakości szkolnictwa zawodowego wpisują się w cel podniesienia umiejętności i kwalifikacji siły roboczej oraz służą zwiększeniu dopasowania systemów kształcenia do potrzeb rynku pracy,</w:t>
      </w:r>
      <w:r w:rsidRPr="003E6234">
        <w:rPr>
          <w:rStyle w:val="Odwoanieprzypisudolnego"/>
        </w:rPr>
        <w:footnoteReference w:id="101"/>
      </w:r>
    </w:p>
    <w:p w:rsidR="00424449" w:rsidRPr="003E6234" w:rsidRDefault="00424449" w:rsidP="000965A8">
      <w:pPr>
        <w:pStyle w:val="Akapitzlist"/>
        <w:numPr>
          <w:ilvl w:val="0"/>
          <w:numId w:val="21"/>
        </w:numPr>
        <w:ind w:left="714" w:hanging="357"/>
        <w:contextualSpacing w:val="0"/>
      </w:pPr>
      <w:r w:rsidRPr="003E6234">
        <w:t>upowszechnienie kształcenia ustawicznego (z przyjęciem nowego, popytowego modelu) w</w:t>
      </w:r>
      <w:r w:rsidR="002F7C58">
        <w:t> </w:t>
      </w:r>
      <w:r w:rsidRPr="003E6234">
        <w:t xml:space="preserve"> regionie także ma na celu zwiększenie dopasowania kompetencji kadr regionu do potrzeb lokalnego rynku pracy oraz poprawę dostępności kształcenia dla dotychczas nieuczestniczących w nim grup osób.</w:t>
      </w:r>
      <w:r w:rsidRPr="003E6234">
        <w:rPr>
          <w:rStyle w:val="Odwoanieprzypisudolnego"/>
        </w:rPr>
        <w:footnoteReference w:id="102"/>
      </w:r>
    </w:p>
    <w:p w:rsidR="00424449" w:rsidRPr="003E6234" w:rsidRDefault="00424449" w:rsidP="00BC2878">
      <w:r w:rsidRPr="003E6234">
        <w:t xml:space="preserve">Poniższy model logiczny odzwierciedla logikę interwencji. Jako cel dla całej OP przyjęto kluczowe wyzwanie, zidentyfikowane w sekcji 1.1 RPO WP 2014-2020. Działania w obszarze edukacji służyć będą trzem celom: </w:t>
      </w:r>
      <w:r w:rsidRPr="003E6234">
        <w:rPr>
          <w:bCs/>
        </w:rPr>
        <w:t xml:space="preserve">poprawie jakości kształcenia </w:t>
      </w:r>
      <w:r w:rsidRPr="003E6234">
        <w:t xml:space="preserve">(w szkołach zawodowych – 10.3, oraz pozostałych – </w:t>
      </w:r>
      <w:r w:rsidRPr="00A42AA3">
        <w:t>10.1),</w:t>
      </w:r>
      <w:r w:rsidRPr="00A42AA3">
        <w:rPr>
          <w:bCs/>
        </w:rPr>
        <w:t xml:space="preserve"> zwiększeniu powiązania systemu edukacji i umiejętności osób z potrzebami rynku pracy </w:t>
      </w:r>
      <w:r w:rsidRPr="00A42AA3">
        <w:t>oraz</w:t>
      </w:r>
      <w:r w:rsidRPr="00A42AA3">
        <w:rPr>
          <w:bCs/>
        </w:rPr>
        <w:t xml:space="preserve"> lepszemu dostępowi do dobrej jakości edukacji elementarnej, kształcenia podstawowego, </w:t>
      </w:r>
      <w:r w:rsidRPr="00A42AA3">
        <w:t>gimnazjalnego i ponadgimnazjalnego. Cele te spójne są z założonymi na poziomie Umowy Partnerstwa</w:t>
      </w:r>
      <w:r w:rsidRPr="00A42AA3">
        <w:rPr>
          <w:bCs/>
          <w:i/>
        </w:rPr>
        <w:t xml:space="preserve">. </w:t>
      </w:r>
      <w:r w:rsidRPr="00A42AA3">
        <w:t>Warto jednak na poziomie dokumentów wykonawczych RPO WP 2014-2020 dokonać dalszej priorytetyzacji kwestii problemowych, obszarów o szczególnych potrzebach rozwojowych bądź grup docelowych.</w:t>
      </w:r>
      <w:r w:rsidRPr="003E6234">
        <w:t xml:space="preserve"> </w:t>
      </w:r>
    </w:p>
    <w:p w:rsidR="00424449" w:rsidRPr="003E6234" w:rsidRDefault="00424449" w:rsidP="00BC2878">
      <w:pPr>
        <w:sectPr w:rsidR="00424449" w:rsidRPr="003E6234" w:rsidSect="00607AE2">
          <w:footerReference w:type="first" r:id="rId69"/>
          <w:pgSz w:w="11906" w:h="16838"/>
          <w:pgMar w:top="1985" w:right="1418" w:bottom="1418" w:left="1418" w:header="708" w:footer="708" w:gutter="0"/>
          <w:cols w:space="708"/>
          <w:docGrid w:linePitch="360"/>
        </w:sectPr>
      </w:pPr>
    </w:p>
    <w:p w:rsidR="002A4B9A" w:rsidRPr="00424449" w:rsidRDefault="002A4B9A" w:rsidP="002A4B9A">
      <w:pPr>
        <w:pStyle w:val="Legenda"/>
        <w:keepNext/>
      </w:pPr>
      <w:r w:rsidRPr="00424449">
        <w:lastRenderedPageBreak/>
        <w:t xml:space="preserve">Schemat </w:t>
      </w:r>
      <w:r w:rsidR="001B04AC">
        <w:fldChar w:fldCharType="begin"/>
      </w:r>
      <w:r w:rsidR="008E1D74">
        <w:instrText xml:space="preserve"> SEQ Schemat \* ARABIC </w:instrText>
      </w:r>
      <w:r w:rsidR="001B04AC">
        <w:fldChar w:fldCharType="separate"/>
      </w:r>
      <w:r w:rsidR="00832320">
        <w:rPr>
          <w:noProof/>
        </w:rPr>
        <w:t>11</w:t>
      </w:r>
      <w:r w:rsidR="001B04AC">
        <w:rPr>
          <w:noProof/>
        </w:rPr>
        <w:fldChar w:fldCharType="end"/>
      </w:r>
      <w:r w:rsidRPr="00424449">
        <w:t>. Model logiczny osi priorytetowej I</w:t>
      </w:r>
      <w:r>
        <w:t>X</w:t>
      </w:r>
    </w:p>
    <w:tbl>
      <w:tblPr>
        <w:tblStyle w:val="Tabela-Siatka"/>
        <w:tblW w:w="5174"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5080"/>
      </w:tblGrid>
      <w:tr w:rsidR="002A4B9A" w:rsidRPr="00424449" w:rsidTr="000B3173">
        <w:trPr>
          <w:jc w:val="center"/>
        </w:trPr>
        <w:tc>
          <w:tcPr>
            <w:tcW w:w="14714" w:type="dxa"/>
            <w:shd w:val="clear" w:color="auto" w:fill="A4BEDD" w:themeFill="accent1" w:themeFillTint="66"/>
          </w:tcPr>
          <w:p w:rsidR="002A4B9A" w:rsidRPr="00424449" w:rsidRDefault="002A4B9A" w:rsidP="002A4B9A">
            <w:pPr>
              <w:spacing w:before="120" w:after="120"/>
              <w:jc w:val="center"/>
              <w:rPr>
                <w:i/>
                <w:noProof/>
                <w:lang w:eastAsia="pl-PL"/>
              </w:rPr>
            </w:pPr>
            <w:r w:rsidRPr="00424449">
              <w:rPr>
                <w:b/>
                <w:i/>
                <w:noProof/>
                <w:sz w:val="20"/>
                <w:lang w:eastAsia="pl-PL"/>
              </w:rPr>
              <w:t>oś priorytetowa I</w:t>
            </w:r>
            <w:r>
              <w:rPr>
                <w:b/>
                <w:i/>
                <w:noProof/>
                <w:sz w:val="20"/>
                <w:lang w:eastAsia="pl-PL"/>
              </w:rPr>
              <w:t>X</w:t>
            </w:r>
            <w:r w:rsidRPr="00424449">
              <w:rPr>
                <w:b/>
                <w:i/>
                <w:noProof/>
                <w:sz w:val="20"/>
                <w:lang w:eastAsia="pl-PL"/>
              </w:rPr>
              <w:t xml:space="preserve">. </w:t>
            </w:r>
            <w:r w:rsidRPr="002A4B9A">
              <w:rPr>
                <w:b/>
                <w:i/>
                <w:noProof/>
                <w:sz w:val="20"/>
                <w:lang w:eastAsia="pl-PL"/>
              </w:rPr>
              <w:t>Jakość edukacji i kompetencji w regionie</w:t>
            </w:r>
          </w:p>
        </w:tc>
      </w:tr>
      <w:tr w:rsidR="002A4B9A" w:rsidRPr="00424449" w:rsidTr="000B3173">
        <w:trPr>
          <w:trHeight w:val="6167"/>
          <w:jc w:val="center"/>
        </w:trPr>
        <w:tc>
          <w:tcPr>
            <w:tcW w:w="14714" w:type="dxa"/>
          </w:tcPr>
          <w:p w:rsidR="002A4B9A" w:rsidRPr="00424449" w:rsidRDefault="001B04AC" w:rsidP="008B0D93">
            <w:pPr>
              <w:spacing w:before="240" w:after="240"/>
              <w:rPr>
                <w:i/>
              </w:rPr>
            </w:pPr>
            <w:r>
              <w:rPr>
                <w:i/>
                <w:noProof/>
                <w:lang w:eastAsia="pl-PL"/>
              </w:rPr>
            </w:r>
            <w:r>
              <w:rPr>
                <w:i/>
                <w:noProof/>
                <w:lang w:eastAsia="pl-PL"/>
              </w:rPr>
              <w:pict>
                <v:group id="Kanwa 648" o:spid="_x0000_s1206" editas="canvas" style="width:743.15pt;height:300.5pt;mso-position-horizontal-relative:char;mso-position-vertical-relative:line" coordsize="94380,38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">
                  <v:shape id="_x0000_s1207" type="#_x0000_t75" style="position:absolute;width:94380;height:38163;visibility:visible">
                    <v:fill o:detectmouseclick="t"/>
                    <v:path o:connecttype="none"/>
                  </v:shape>
                  <v:rect id="Prostokąt 417" o:spid="_x0000_s1208" style="position:absolute;left:71636;top:359;width:20935;height:92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XeMYA&#10;AADcAAAADwAAAGRycy9kb3ducmV2LnhtbESPQWvCQBSE7wX/w/KE3upGD6WJWUVEwfYgrS0Bb4/s&#10;Mwlm34bsmsT8+m6h4HGYmW+YdD2YWnTUusqygvksAkGcW11xoeDne//yBsJ5ZI21ZVJwJwfr1eQp&#10;xUTbnr+oO/lCBAi7BBWU3jeJlC4vyaCb2YY4eBfbGvRBtoXULfYBbmq5iKJXabDisFBiQ9uS8uvp&#10;ZhR89vvFIevG7FiNl4/dhuy5f7dKPU+HzRKEp8E/wv/tg1YQz2P4OxOO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zXeMYAAADcAAAADwAAAAAAAAAAAAAAAACYAgAAZHJz&#10;L2Rvd25yZXYueG1sUEsFBgAAAAAEAAQA9QAAAIsDAAAAAA==&#10;" fillcolor="#c2d69b" stroked="f">
                    <v:textbox>
                      <w:txbxContent>
                        <w:p w:rsidR="00832320" w:rsidRDefault="00832320" w:rsidP="002A4B9A">
                          <w:pPr>
                            <w:pStyle w:val="NormalnyWeb"/>
                            <w:spacing w:before="0" w:beforeAutospacing="0" w:after="200" w:afterAutospacing="0"/>
                            <w:jc w:val="center"/>
                          </w:pPr>
                          <w:r>
                            <w:rPr>
                              <w:rFonts w:ascii="Calibri" w:eastAsia="Calibri" w:hAnsi="Calibri"/>
                              <w:sz w:val="16"/>
                              <w:szCs w:val="16"/>
                            </w:rPr>
                            <w:t>rozwój wysokiej jakości szkolnictwa zawodowego odpowiadającego na potrzeby rynku pracy (10.3 BIS)</w:t>
                          </w:r>
                        </w:p>
                      </w:txbxContent>
                    </v:textbox>
                  </v:rect>
                  <v:rect id="Prostokąt 418" o:spid="_x0000_s1209" style="position:absolute;left:9902;top:372;width:11407;height:92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0WMMA&#10;AADcAAAADwAAAGRycy9kb3ducmV2LnhtbERPTWvCQBC9F/wPywi9NRtzKG10lSAGrIdibQl4G7Jj&#10;EszOhuw2if5691Do8fG+V5vJtGKg3jWWFSyiGARxaXXDlYKf7/zlDYTzyBpby6TgRg4269nTClNt&#10;R/6i4eQrEULYpaig9r5LpXRlTQZdZDviwF1sb9AH2FdS9ziGcNPKJI5fpcGGQ0ONHW1rKq+nX6Pg&#10;OObJvhjuxWdzvxx2Gdnz+GGVep5P2RKEp8n/i//ce63gPQnzw5lw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0WMMAAADcAAAADwAAAAAAAAAAAAAAAACYAgAAZHJzL2Rv&#10;d25yZXYueG1sUEsFBgAAAAAEAAQA9QAAAIgDAAAAAA==&#10;" fillcolor="#c2d69b" stroked="f">
                    <v:textbox>
                      <w:txbxContent>
                        <w:p w:rsidR="00832320" w:rsidRDefault="00832320" w:rsidP="002A4B9A">
                          <w:pPr>
                            <w:pStyle w:val="NormalnyWeb"/>
                            <w:spacing w:before="0" w:beforeAutospacing="0" w:after="200" w:afterAutospacing="0"/>
                            <w:jc w:val="center"/>
                          </w:pPr>
                          <w:r>
                            <w:rPr>
                              <w:rFonts w:ascii="Calibri" w:eastAsia="Calibri" w:hAnsi="Calibri"/>
                              <w:sz w:val="16"/>
                              <w:szCs w:val="16"/>
                            </w:rPr>
                            <w:t>Upowszechnianie edukacji przedszkolnej  (10.1)</w:t>
                          </w:r>
                        </w:p>
                      </w:txbxContent>
                    </v:textbox>
                  </v:rect>
                  <v:rect id="Prostokąt 419" o:spid="_x0000_s1210" style="position:absolute;left:25263;top:213;width:21360;height:92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Rw8YA&#10;AADcAAAADwAAAGRycy9kb3ducmV2LnhtbESPQWvCQBSE74X+h+UVeqsbcyht6ipSGogeik2L4O2R&#10;fSbB7NuQXZOYX+8KQo/DzHzDLFajaURPnastK5jPIhDEhdU1lwr+ftOXNxDOI2tsLJOCCzlYLR8f&#10;FphoO/AP9bkvRYCwS1BB5X2bSOmKigy6mW2Jg3e0nUEfZFdK3eEQ4KaRcRS9SoM1h4UKW/qsqDjl&#10;Z6NgN6Rxtu+n/Xc9Hbdfa7KHYWOVen4a1x8gPI3+P3xvZ1rBezyH25lw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YRw8YAAADcAAAADwAAAAAAAAAAAAAAAACYAgAAZHJz&#10;L2Rvd25yZXYueG1sUEsFBgAAAAAEAAQA9QAAAIsDAAAAAA==&#10;" fillcolor="#c2d69b" stroked="f">
                    <v:textbox>
                      <w:txbxContent>
                        <w:p w:rsidR="00832320" w:rsidRDefault="00832320" w:rsidP="002A4B9A">
                          <w:pPr>
                            <w:pStyle w:val="NormalnyWeb"/>
                            <w:spacing w:before="0" w:beforeAutospacing="0" w:after="200" w:afterAutospacing="0"/>
                            <w:jc w:val="center"/>
                          </w:pPr>
                          <w:r>
                            <w:rPr>
                              <w:rFonts w:ascii="Calibri" w:eastAsia="Calibri" w:hAnsi="Calibri"/>
                              <w:sz w:val="16"/>
                              <w:szCs w:val="16"/>
                            </w:rPr>
                            <w:t>poprawa funkcjonowania szkół i placówek systemu oświaty (10.1)</w:t>
                          </w:r>
                        </w:p>
                      </w:txbxContent>
                    </v:textbox>
                  </v:rect>
                  <v:rect id="Prostokąt 420" o:spid="_x0000_s1211" style="position:absolute;left:50653;top:359;width:18000;height:92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PtMUA&#10;AADcAAAADwAAAGRycy9kb3ducmV2LnhtbESPT4vCMBTE78J+h/AW9qbp9rBoNYrICroH8R+Ct0fz&#10;bIvNS2li2/XTG0HwOMzMb5jJrDOlaKh2hWUF34MIBHFqdcGZguNh2R+CcB5ZY2mZFPyTg9n0ozfB&#10;RNuWd9TsfSYChF2CCnLvq0RKl+Zk0A1sRRy8i60N+iDrTOoa2wA3pYyj6EcaLDgs5FjRIqf0ur8Z&#10;Bdt2Ga9Ozf20Ke6Xv9852XO7tkp9fXbzMQhPnX+HX+2VVjCKY3ieCUd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BI+0xQAAANwAAAAPAAAAAAAAAAAAAAAAAJgCAABkcnMv&#10;ZG93bnJldi54bWxQSwUGAAAAAAQABAD1AAAAigMAAAAA&#10;" fillcolor="#c2d69b" stroked="f">
                    <v:textbox>
                      <w:txbxContent>
                        <w:p w:rsidR="00832320" w:rsidRDefault="00832320" w:rsidP="002A4B9A">
                          <w:pPr>
                            <w:pStyle w:val="NormalnyWeb"/>
                            <w:spacing w:before="0" w:beforeAutospacing="0" w:after="200" w:afterAutospacing="0"/>
                            <w:jc w:val="center"/>
                          </w:pPr>
                          <w:r>
                            <w:rPr>
                              <w:rFonts w:ascii="Calibri" w:eastAsia="Calibri" w:hAnsi="Calibri"/>
                              <w:sz w:val="16"/>
                              <w:szCs w:val="16"/>
                            </w:rPr>
                            <w:t>upowszechnienie kształcenia ustawicznego (10.3)</w:t>
                          </w:r>
                        </w:p>
                      </w:txbxContent>
                    </v:textbox>
                  </v:rect>
                  <v:rect id="Prostokąt 421" o:spid="_x0000_s1212" style="position:absolute;left:50557;top:14244;width:18000;height:234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gEBsQA&#10;AADcAAAADwAAAGRycy9kb3ducmV2LnhtbESP0WrCQBRE3wv+w3IF3+rGCNWmbkQKglgoGPsBt9lr&#10;EpK9m+6uMf69Wyj0cZiZM8xmO5pODOR8Y1nBYp6AIC6tbrhS8HXeP69B+ICssbNMCu7kYZtPnjaY&#10;aXvjEw1FqESEsM9QQR1Cn0npy5oM+rntiaN3sc5giNJVUju8RbjpZJokL9Jgw3Ghxp7eayrb4moU&#10;7Ief1el7sV5+ph+hLVeFJ3f0Ss2m4+4NRKAx/If/2get4DVdwu+ZeARk/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4BAbEAAAA3AAAAA8AAAAAAAAAAAAAAAAAmAIAAGRycy9k&#10;b3ducmV2LnhtbFBLBQYAAAAABAAEAPUAAACJAwAAAAA=&#10;" fillcolor="#d1deee" stroked="f">
                    <v:textbox>
                      <w:txbxContent>
                        <w:p w:rsidR="00832320" w:rsidRDefault="00832320" w:rsidP="002A4B9A">
                          <w:pPr>
                            <w:pStyle w:val="NormalnyWeb"/>
                            <w:spacing w:before="0" w:beforeAutospacing="0" w:after="0" w:afterAutospacing="0"/>
                            <w:jc w:val="center"/>
                          </w:pPr>
                          <w:r>
                            <w:rPr>
                              <w:rFonts w:ascii="Calibri" w:eastAsia="Calibri" w:hAnsi="Calibri"/>
                              <w:sz w:val="14"/>
                              <w:szCs w:val="14"/>
                            </w:rPr>
                            <w:t>- kształcenie osób dorosłych w formach szkolnych i pozaszkolnych</w:t>
                          </w:r>
                        </w:p>
                        <w:p w:rsidR="00832320" w:rsidRDefault="00832320" w:rsidP="002A4B9A">
                          <w:pPr>
                            <w:pStyle w:val="NormalnyWeb"/>
                            <w:spacing w:before="0" w:beforeAutospacing="0" w:after="0" w:afterAutospacing="0"/>
                            <w:jc w:val="center"/>
                          </w:pPr>
                          <w:r>
                            <w:rPr>
                              <w:rFonts w:ascii="Calibri" w:eastAsia="Calibri" w:hAnsi="Calibri"/>
                              <w:sz w:val="14"/>
                              <w:szCs w:val="14"/>
                            </w:rPr>
                            <w:t>- podnoszenie kompetencji językowych oraz ICT wśród osób dorosłych</w:t>
                          </w:r>
                        </w:p>
                        <w:p w:rsidR="00832320" w:rsidRDefault="00832320" w:rsidP="002A4B9A">
                          <w:pPr>
                            <w:pStyle w:val="NormalnyWeb"/>
                            <w:spacing w:before="0" w:beforeAutospacing="0" w:after="0" w:afterAutospacing="0"/>
                            <w:jc w:val="center"/>
                          </w:pPr>
                          <w:r>
                            <w:rPr>
                              <w:rFonts w:ascii="Calibri" w:eastAsia="Calibri" w:hAnsi="Calibri"/>
                              <w:sz w:val="14"/>
                              <w:szCs w:val="14"/>
                            </w:rPr>
                            <w:t>- doradztwo dla osób dorosłych w zakresie diagnozy potrzeb edukacyjnych oraz wyboru odpowiedniej oferty kształcenia</w:t>
                          </w:r>
                        </w:p>
                        <w:p w:rsidR="00832320" w:rsidRDefault="00832320" w:rsidP="002A4B9A">
                          <w:pPr>
                            <w:pStyle w:val="NormalnyWeb"/>
                            <w:spacing w:before="0" w:beforeAutospacing="0" w:after="0" w:afterAutospacing="0"/>
                            <w:jc w:val="center"/>
                          </w:pPr>
                          <w:r>
                            <w:rPr>
                              <w:rFonts w:ascii="Calibri" w:eastAsia="Calibri" w:hAnsi="Calibri"/>
                              <w:sz w:val="14"/>
                              <w:szCs w:val="14"/>
                            </w:rPr>
                            <w:t>- programy formalnego potwierdzania kwalifikacji uzyskanych drogą nieformalną lub pozaformalną</w:t>
                          </w:r>
                        </w:p>
                      </w:txbxContent>
                    </v:textbox>
                  </v:rect>
                  <v:rect id="Prostokąt 422" o:spid="_x0000_s1213" style="position:absolute;left:9901;top:14242;width:11408;height:234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GccsQA&#10;AADcAAAADwAAAGRycy9kb3ducmV2LnhtbESP0WrCQBRE3wv+w3IF3+rGWKpGV5GCIC0UjH7ANXtN&#10;gtm7cXcb4993CwUfh5k5w6w2vWlER87XlhVMxgkI4sLqmksFp+PudQ7CB2SNjWVS8CAPm/XgZYWZ&#10;tnc+UJeHUkQI+wwVVCG0mZS+qMigH9uWOHoX6wyGKF0ptcN7hJtGpknyLg3WHBcqbOmjouKa/xgF&#10;u+42O5wn8+l3+hWuxSz35D69UqNhv12CCNSHZ/i/vdcKFukb/J2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RnHLEAAAA3AAAAA8AAAAAAAAAAAAAAAAAmAIAAGRycy9k&#10;b3ducmV2LnhtbFBLBQYAAAAABAAEAPUAAACJAwAAAAA=&#10;" fillcolor="#d1deee" stroked="f">
                    <v:textbox>
                      <w:txbxContent>
                        <w:p w:rsidR="00832320" w:rsidRDefault="00832320" w:rsidP="002A4B9A">
                          <w:pPr>
                            <w:pStyle w:val="NormalnyWeb"/>
                            <w:spacing w:before="0" w:beforeAutospacing="0" w:after="0" w:afterAutospacing="0"/>
                            <w:jc w:val="center"/>
                          </w:pPr>
                          <w:r>
                            <w:rPr>
                              <w:rFonts w:ascii="Calibri" w:eastAsia="Calibri" w:hAnsi="Calibri"/>
                              <w:sz w:val="14"/>
                              <w:szCs w:val="14"/>
                            </w:rPr>
                            <w:t>- wsparcie tworzenia nowych miejsc przedszkolnych, w tym dla dzieci z niepełnosprawnościami</w:t>
                          </w:r>
                        </w:p>
                        <w:p w:rsidR="00832320" w:rsidRDefault="00832320" w:rsidP="002A4B9A">
                          <w:pPr>
                            <w:pStyle w:val="NormalnyWeb"/>
                            <w:spacing w:before="0" w:beforeAutospacing="0" w:after="0" w:afterAutospacing="0"/>
                            <w:jc w:val="center"/>
                          </w:pPr>
                          <w:r>
                            <w:rPr>
                              <w:rFonts w:ascii="Calibri" w:eastAsia="Calibri" w:hAnsi="Calibri"/>
                              <w:sz w:val="14"/>
                              <w:szCs w:val="14"/>
                            </w:rPr>
                            <w:t>- podnoszenie atrakcyjności i jakości oferty edukacyjnej przedszkoli i szkół w zakresie kształcenia ogólnego</w:t>
                          </w:r>
                        </w:p>
                        <w:p w:rsidR="00832320" w:rsidRDefault="00832320" w:rsidP="002A4B9A">
                          <w:pPr>
                            <w:pStyle w:val="NormalnyWeb"/>
                            <w:spacing w:before="0" w:beforeAutospacing="0" w:after="0" w:afterAutospacing="0"/>
                            <w:jc w:val="center"/>
                          </w:pPr>
                          <w:r>
                            <w:rPr>
                              <w:rFonts w:ascii="Calibri" w:eastAsia="Calibri" w:hAnsi="Calibri"/>
                              <w:sz w:val="14"/>
                              <w:szCs w:val="14"/>
                            </w:rPr>
                            <w:t> </w:t>
                          </w:r>
                        </w:p>
                      </w:txbxContent>
                    </v:textbox>
                  </v:rect>
                  <v:rect id="Prostokąt 423" o:spid="_x0000_s1214" style="position:absolute;left:23723;top:14083;width:24531;height:2344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056cQA&#10;AADcAAAADwAAAGRycy9kb3ducmV2LnhtbESP0WrCQBRE3wv+w3IF3+rGSKtGV5GCIC0UjH7ANXtN&#10;gtm7cXcb4993CwUfh5k5w6w2vWlER87XlhVMxgkI4sLqmksFp+PudQ7CB2SNjWVS8CAPm/XgZYWZ&#10;tnc+UJeHUkQI+wwVVCG0mZS+qMigH9uWOHoX6wyGKF0ptcN7hJtGpknyLg3WHBcqbOmjouKa/xgF&#10;u+42O5wn8+l3+hWuxSz35D69UqNhv12CCNSHZ/i/vdcKFukb/J2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dOenEAAAA3AAAAA8AAAAAAAAAAAAAAAAAmAIAAGRycy9k&#10;b3ducmV2LnhtbFBLBQYAAAAABAAEAPUAAACJAwAAAAA=&#10;" fillcolor="#d1deee" stroked="f">
                    <v:textbox>
                      <w:txbxContent>
                        <w:p w:rsidR="00832320" w:rsidRPr="006F471C" w:rsidRDefault="00832320" w:rsidP="006F471C">
                          <w:pPr>
                            <w:pStyle w:val="NormalnyWeb"/>
                            <w:spacing w:before="0" w:beforeAutospacing="0" w:after="0" w:afterAutospacing="0"/>
                            <w:jc w:val="center"/>
                            <w:rPr>
                              <w:rFonts w:asciiTheme="minorHAnsi" w:eastAsia="Calibri" w:hAnsiTheme="minorHAnsi"/>
                              <w:sz w:val="14"/>
                              <w:szCs w:val="14"/>
                            </w:rPr>
                          </w:pPr>
                          <w:r>
                            <w:rPr>
                              <w:rFonts w:asciiTheme="minorHAnsi" w:eastAsia="Calibri" w:hAnsiTheme="minorHAnsi"/>
                              <w:sz w:val="14"/>
                              <w:szCs w:val="14"/>
                            </w:rPr>
                            <w:t>-</w:t>
                          </w:r>
                          <w:r w:rsidRPr="006F471C">
                            <w:rPr>
                              <w:rFonts w:asciiTheme="minorHAnsi" w:eastAsia="Calibri" w:hAnsiTheme="minorHAnsi"/>
                              <w:sz w:val="14"/>
                              <w:szCs w:val="14"/>
                            </w:rPr>
                            <w:t>działania służące indywidualizacji podejścia do ucznia, ukierunkowane na wyrównywanie szans edukacyjnych uczniów oraz pracę z uczniem młodszym</w:t>
                          </w:r>
                        </w:p>
                        <w:p w:rsidR="00832320" w:rsidRPr="006F471C" w:rsidRDefault="00832320" w:rsidP="006F471C">
                          <w:pPr>
                            <w:pStyle w:val="NormalnyWeb"/>
                            <w:spacing w:before="0" w:beforeAutospacing="0" w:after="0" w:afterAutospacing="0"/>
                            <w:jc w:val="center"/>
                            <w:rPr>
                              <w:rFonts w:asciiTheme="minorHAnsi" w:eastAsia="Calibri" w:hAnsiTheme="minorHAnsi"/>
                              <w:sz w:val="14"/>
                              <w:szCs w:val="14"/>
                            </w:rPr>
                          </w:pPr>
                          <w:r w:rsidRPr="006F471C">
                            <w:rPr>
                              <w:rFonts w:asciiTheme="minorHAnsi" w:eastAsia="Calibri" w:hAnsiTheme="minorHAnsi"/>
                              <w:sz w:val="14"/>
                              <w:szCs w:val="14"/>
                            </w:rPr>
                            <w:t>- podnoszenie kompetencji uczniów w zakresie nauk matematyczno-przyrodniczych oraz kompetencji cyfrowych</w:t>
                          </w:r>
                        </w:p>
                        <w:p w:rsidR="00832320" w:rsidRPr="006F471C" w:rsidRDefault="00832320" w:rsidP="006F471C">
                          <w:pPr>
                            <w:pStyle w:val="NormalnyWeb"/>
                            <w:spacing w:before="0" w:beforeAutospacing="0" w:after="0" w:afterAutospacing="0"/>
                            <w:jc w:val="center"/>
                            <w:rPr>
                              <w:rFonts w:asciiTheme="minorHAnsi" w:eastAsia="Calibri" w:hAnsiTheme="minorHAnsi"/>
                              <w:sz w:val="14"/>
                              <w:szCs w:val="14"/>
                            </w:rPr>
                          </w:pPr>
                          <w:r w:rsidRPr="006F471C">
                            <w:rPr>
                              <w:rFonts w:asciiTheme="minorHAnsi" w:eastAsia="Calibri" w:hAnsiTheme="minorHAnsi"/>
                              <w:sz w:val="14"/>
                              <w:szCs w:val="14"/>
                            </w:rPr>
                            <w:t>- działania rozwijające przekrojowe kompetencje kluczowe uczniów, tj. umiejętność uczenia się, kompetencje społeczne i obywatelskie, kreatywność, inicjatywność i przedsiębiorczość, świadomość i ekspresja kulturalna</w:t>
                          </w:r>
                        </w:p>
                        <w:p w:rsidR="00832320" w:rsidRPr="006F471C" w:rsidRDefault="00832320" w:rsidP="006F471C">
                          <w:pPr>
                            <w:pStyle w:val="NormalnyWeb"/>
                            <w:spacing w:before="0" w:beforeAutospacing="0" w:after="0" w:afterAutospacing="0"/>
                            <w:jc w:val="center"/>
                            <w:rPr>
                              <w:rFonts w:asciiTheme="minorHAnsi" w:eastAsia="Calibri" w:hAnsiTheme="minorHAnsi"/>
                              <w:sz w:val="14"/>
                              <w:szCs w:val="14"/>
                            </w:rPr>
                          </w:pPr>
                          <w:r w:rsidRPr="006F471C">
                            <w:rPr>
                              <w:rFonts w:asciiTheme="minorHAnsi" w:eastAsia="Calibri" w:hAnsiTheme="minorHAnsi"/>
                              <w:sz w:val="14"/>
                              <w:szCs w:val="14"/>
                            </w:rPr>
                            <w:t>- programy wsparcia nauczycieli w ich pracy zawodowej jako element poprawy jakości pracy szkół, ukierunkowane m.in. na podnoszenie kwalifikacji zawodowych, przekwalifikowanie, doradztwo</w:t>
                          </w:r>
                        </w:p>
                        <w:p w:rsidR="00832320" w:rsidRPr="006F471C" w:rsidRDefault="00832320" w:rsidP="006F471C">
                          <w:pPr>
                            <w:pStyle w:val="NormalnyWeb"/>
                            <w:spacing w:before="0" w:beforeAutospacing="0" w:after="0" w:afterAutospacing="0"/>
                            <w:jc w:val="center"/>
                            <w:rPr>
                              <w:rFonts w:asciiTheme="minorHAnsi" w:hAnsiTheme="minorHAnsi"/>
                              <w:sz w:val="14"/>
                              <w:szCs w:val="14"/>
                            </w:rPr>
                          </w:pPr>
                          <w:r>
                            <w:rPr>
                              <w:rFonts w:asciiTheme="minorHAnsi" w:hAnsiTheme="minorHAnsi"/>
                              <w:sz w:val="14"/>
                              <w:szCs w:val="14"/>
                            </w:rPr>
                            <w:t>-</w:t>
                          </w:r>
                          <w:r w:rsidRPr="006F471C">
                            <w:rPr>
                              <w:rFonts w:asciiTheme="minorHAnsi" w:hAnsiTheme="minorHAnsi"/>
                              <w:sz w:val="14"/>
                              <w:szCs w:val="14"/>
                            </w:rPr>
                            <w:t>kontynuacja wdrażania założeń rządowego programu „Cyfrowa Szkoła” w obszarze e-nauczyciel i e-szkoła</w:t>
                          </w:r>
                        </w:p>
                        <w:p w:rsidR="00832320" w:rsidRPr="006F471C" w:rsidRDefault="00832320" w:rsidP="006F471C">
                          <w:pPr>
                            <w:pStyle w:val="NormalnyWeb"/>
                            <w:spacing w:before="0" w:beforeAutospacing="0" w:after="0" w:afterAutospacing="0"/>
                            <w:jc w:val="center"/>
                            <w:rPr>
                              <w:rFonts w:asciiTheme="minorHAnsi" w:hAnsiTheme="minorHAnsi"/>
                              <w:sz w:val="14"/>
                              <w:szCs w:val="14"/>
                            </w:rPr>
                          </w:pPr>
                          <w:r>
                            <w:rPr>
                              <w:rFonts w:asciiTheme="minorHAnsi" w:hAnsiTheme="minorHAnsi"/>
                              <w:sz w:val="14"/>
                              <w:szCs w:val="14"/>
                            </w:rPr>
                            <w:t>-</w:t>
                          </w:r>
                          <w:r w:rsidRPr="006F471C">
                            <w:rPr>
                              <w:rFonts w:asciiTheme="minorHAnsi" w:hAnsiTheme="minorHAnsi"/>
                              <w:sz w:val="14"/>
                              <w:szCs w:val="14"/>
                            </w:rPr>
                            <w:t xml:space="preserve"> realizacja programów stypendialnych skierowanych do uczniów szkół gimnazjalnych i ponadgimnazjalnych,</w:t>
                          </w:r>
                        </w:p>
                      </w:txbxContent>
                    </v:textbox>
                  </v:rect>
                  <v:rect id="Prostokąt 424" o:spid="_x0000_s1215" style="position:absolute;left:71539;top:14243;width:20934;height:234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nnsQA&#10;AADcAAAADwAAAGRycy9kb3ducmV2LnhtbESP3WrCQBSE7wu+w3IE7+rGCP5EV5GCUFoQjD7AMXtM&#10;gtmz6e42pm/fFQQvh5n5hllve9OIjpyvLSuYjBMQxIXVNZcKzqf9+wKED8gaG8uk4I88bDeDtzVm&#10;2t75SF0eShEh7DNUUIXQZlL6oiKDfmxb4uhdrTMYonSl1A7vEW4amSbJTBqsOS5U2NJHRcUt/zUK&#10;9t3P/HiZLKaH9DvcinnuyX15pUbDfrcCEagPr/Cz/akVLNMZPM7EI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p57EAAAA3AAAAA8AAAAAAAAAAAAAAAAAmAIAAGRycy9k&#10;b3ducmV2LnhtbFBLBQYAAAAABAAEAPUAAACJAwAAAAA=&#10;" fillcolor="#d1deee" stroked="f">
                    <v:textbox>
                      <w:txbxContent>
                        <w:p w:rsidR="00832320" w:rsidRDefault="00832320" w:rsidP="002A4B9A">
                          <w:pPr>
                            <w:pStyle w:val="NormalnyWeb"/>
                            <w:spacing w:before="0" w:beforeAutospacing="0" w:after="0" w:afterAutospacing="0"/>
                            <w:jc w:val="center"/>
                          </w:pPr>
                          <w:r>
                            <w:rPr>
                              <w:rFonts w:ascii="Calibri" w:eastAsia="Calibri" w:hAnsi="Calibri"/>
                              <w:sz w:val="14"/>
                              <w:szCs w:val="14"/>
                            </w:rPr>
                            <w:t xml:space="preserve">- stworzenie i wdrożenie systemu integracji szkolnictwa zawodowego z otoczeniem społeczno-gospodarczym </w:t>
                          </w:r>
                        </w:p>
                        <w:p w:rsidR="00832320" w:rsidRDefault="00832320" w:rsidP="002A4B9A">
                          <w:pPr>
                            <w:pStyle w:val="NormalnyWeb"/>
                            <w:spacing w:before="0" w:beforeAutospacing="0" w:after="0" w:afterAutospacing="0"/>
                            <w:jc w:val="center"/>
                          </w:pPr>
                          <w:r>
                            <w:rPr>
                              <w:rFonts w:ascii="Calibri" w:eastAsia="Calibri" w:hAnsi="Calibri"/>
                              <w:sz w:val="14"/>
                              <w:szCs w:val="14"/>
                            </w:rPr>
                            <w:t xml:space="preserve">- podnoszenie atrakcyjności szkolnictwa zawodowego i jakości oferty edukacyjnej szkół/placówek prowadzących kształcenie zawodowe, w tym dostosowanie oferty edukacyjnej szkół zawodowych do regionalnych potrzeb </w:t>
                          </w:r>
                        </w:p>
                        <w:p w:rsidR="00832320" w:rsidRDefault="00832320" w:rsidP="002A4B9A">
                          <w:pPr>
                            <w:pStyle w:val="NormalnyWeb"/>
                            <w:spacing w:before="0" w:beforeAutospacing="0" w:after="0" w:afterAutospacing="0"/>
                            <w:jc w:val="center"/>
                          </w:pPr>
                          <w:r>
                            <w:rPr>
                              <w:rFonts w:ascii="Calibri" w:eastAsia="Calibri" w:hAnsi="Calibri"/>
                              <w:sz w:val="14"/>
                              <w:szCs w:val="14"/>
                            </w:rPr>
                            <w:t xml:space="preserve">- podnoszenie kwalifikacji zawodowych, przekwalifikowanie, doradztwo dla nauczycieli </w:t>
                          </w:r>
                        </w:p>
                        <w:p w:rsidR="00832320" w:rsidRDefault="00832320" w:rsidP="002A4B9A">
                          <w:pPr>
                            <w:pStyle w:val="NormalnyWeb"/>
                            <w:spacing w:before="0" w:beforeAutospacing="0" w:after="0" w:afterAutospacing="0"/>
                            <w:jc w:val="center"/>
                          </w:pPr>
                          <w:r>
                            <w:rPr>
                              <w:rFonts w:ascii="Calibri" w:eastAsia="Calibri" w:hAnsi="Calibri"/>
                              <w:sz w:val="14"/>
                              <w:szCs w:val="14"/>
                            </w:rPr>
                            <w:t xml:space="preserve">- rozwój oferty ukierunkowanych branżowo centrów kształcenia zawodowego i ustawicznego </w:t>
                          </w:r>
                        </w:p>
                        <w:p w:rsidR="00832320" w:rsidRDefault="00832320" w:rsidP="002A4B9A">
                          <w:pPr>
                            <w:pStyle w:val="NormalnyWeb"/>
                            <w:spacing w:before="0" w:beforeAutospacing="0" w:after="0" w:afterAutospacing="0"/>
                            <w:jc w:val="center"/>
                            <w:rPr>
                              <w:rFonts w:ascii="Calibri" w:eastAsia="Calibri" w:hAnsi="Calibri"/>
                              <w:sz w:val="14"/>
                              <w:szCs w:val="14"/>
                            </w:rPr>
                          </w:pPr>
                          <w:r>
                            <w:rPr>
                              <w:rFonts w:ascii="Calibri" w:eastAsia="Calibri" w:hAnsi="Calibri"/>
                              <w:sz w:val="14"/>
                              <w:szCs w:val="14"/>
                            </w:rPr>
                            <w:t>- kampanie wizerunkowe i informacyjne na rzecz szkolnictwa zawodowego</w:t>
                          </w:r>
                        </w:p>
                        <w:p w:rsidR="00832320" w:rsidRDefault="00832320" w:rsidP="002A4B9A">
                          <w:pPr>
                            <w:pStyle w:val="NormalnyWeb"/>
                            <w:spacing w:before="0" w:beforeAutospacing="0" w:after="0" w:afterAutospacing="0"/>
                            <w:jc w:val="center"/>
                          </w:pPr>
                          <w:r>
                            <w:rPr>
                              <w:rFonts w:ascii="Calibri" w:eastAsia="Calibri" w:hAnsi="Calibri"/>
                              <w:sz w:val="14"/>
                              <w:szCs w:val="14"/>
                            </w:rPr>
                            <w:t>- wdrażanie efektywnego systemu poradnictwa i doradztwa edukacyjno-zawodowego</w:t>
                          </w:r>
                        </w:p>
                      </w:txbxContent>
                    </v:textbox>
                  </v:rect>
                  <v:rect id="Rectangle 301" o:spid="_x0000_s1216" style="position:absolute;left:350;top:555;width:7156;height:907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YfXr4A&#10;AADcAAAADwAAAGRycy9kb3ducmV2LnhtbERPy4rCMBTdD/gP4QqzG1O7GLQaRQuKzs7qB1yaa5+5&#10;qU3U+veTheDycN7L9WBa8aDeVZYVTCcRCOLc6ooLBZfz7mcGwnlkja1lUvAiB+vV6GuJibZPPtEj&#10;84UIIewSVFB63yVSurwkg25iO+LAXW1v0AfYF1L3+AzhppVxFP1KgxWHhhI7SkvKm+xuFPBeH7nO&#10;asTm9JdNt3Fa3W6pUt/jYbMA4WnwH/HbfdAK5nFYG86EIyB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H16+AAAA3AAAAA8AAAAAAAAAAAAAAAAAmAIAAGRycy9kb3ducmV2&#10;LnhtbFBLBQYAAAAABAAEAPUAAACDAwAAAAA=&#10;" fillcolor="#76923c" stroked="f">
                    <v:textbox>
                      <w:txbxContent>
                        <w:p w:rsidR="00832320" w:rsidRDefault="00832320" w:rsidP="002A4B9A">
                          <w:pPr>
                            <w:pStyle w:val="NormalnyWeb"/>
                            <w:spacing w:before="0" w:beforeAutospacing="0" w:after="200" w:afterAutospacing="0" w:line="276" w:lineRule="auto"/>
                            <w:jc w:val="center"/>
                          </w:pPr>
                          <w:r>
                            <w:rPr>
                              <w:rFonts w:ascii="Calibri" w:eastAsia="SimSun" w:hAnsi="Calibri"/>
                              <w:b/>
                              <w:bCs/>
                              <w:color w:val="FFFFFF"/>
                              <w:sz w:val="16"/>
                              <w:szCs w:val="16"/>
                            </w:rPr>
                            <w:t>cele szczegółowe PI</w:t>
                          </w:r>
                        </w:p>
                      </w:txbxContent>
                    </v:textbox>
                  </v:rect>
                  <v:rect id="Rectangle 302" o:spid="_x0000_s1217" style="position:absolute;left:368;top:14243;width:7138;height:234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pi8UA&#10;AADcAAAADwAAAGRycy9kb3ducmV2LnhtbESPy2rDMBBF94H+g5hCd4nsFufhRg6loaSbLOJkk93E&#10;mlqm1shYSuz+fVUoZHm5j8Ndb0bbihv1vnGsIJ0lIIgrpxuuFZyOH9MlCB+QNbaOScEPedgUD5M1&#10;5toNfKBbGWoRR9jnqMCE0OVS+sqQRT9zHXH0vlxvMUTZ11L3OMRx28rnJJlLiw1HgsGO3g1V3+XV&#10;Rm6dXva7hd/bYV6dQ0Zml20PSj09jm+vIAKN4R7+b39qBauXDP7OxCMg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AumLxQAAANwAAAAPAAAAAAAAAAAAAAAAAJgCAABkcnMv&#10;ZG93bnJldi54bWxQSwUGAAAAAAQABAD1AAAAigMAAAAA&#10;" fillcolor="#366092" stroked="f">
                    <v:textbox>
                      <w:txbxContent>
                        <w:p w:rsidR="00832320" w:rsidRDefault="00832320" w:rsidP="002A4B9A">
                          <w:pPr>
                            <w:pStyle w:val="NormalnyWeb"/>
                            <w:spacing w:before="0" w:beforeAutospacing="0" w:after="200" w:afterAutospacing="0" w:line="276" w:lineRule="auto"/>
                            <w:jc w:val="center"/>
                          </w:pPr>
                          <w:r>
                            <w:rPr>
                              <w:rFonts w:ascii="Calibri" w:eastAsia="SimSun" w:hAnsi="Calibri"/>
                              <w:b/>
                              <w:bCs/>
                              <w:color w:val="FCFCFC"/>
                              <w:sz w:val="16"/>
                              <w:szCs w:val="16"/>
                            </w:rPr>
                            <w:t>typy projektów</w:t>
                          </w:r>
                        </w:p>
                      </w:txbxContent>
                    </v:textbox>
                  </v:rect>
                  <v:shape id="Łącznik prosty ze strzałką 432" o:spid="_x0000_s1218" type="#_x0000_t32" style="position:absolute;left:15605;top:9638;width:0;height:46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xLS8EAAADcAAAADwAAAGRycy9kb3ducmV2LnhtbERPy4rCMBTdC/MP4Q6409S3U40yCg7i&#10;Rlp1f6e5tmWam9JE7fy9WQguD+e9XLemEndqXGlZwaAfgSDOrC45V3A+7XpzEM4ja6wsk4J/crBe&#10;fXSWGGv74ITuqc9FCGEXo4LC+zqW0mUFGXR9WxMH7mobgz7AJpe6wUcIN5UcRtFUGiw5NBRY07ag&#10;7C+9GQWj2a/bXC+T4S0/jI77H7tJk2miVPez/V6A8NT6t/jl3msFX+MwP5wJR0C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rEtLwQAAANwAAAAPAAAAAAAAAAAAAAAA&#10;AKECAABkcnMvZG93bnJldi54bWxQSwUGAAAAAAQABAD5AAAAjwMAAAAA&#10;" strokecolor="#335a8a">
                    <v:stroke endarrow="open"/>
                  </v:shape>
                  <v:shape id="Łącznik prosty ze strzałką 433" o:spid="_x0000_s1219" type="#_x0000_t32" style="position:absolute;left:35943;top:9479;width:46;height:460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7BD8MAAADcAAAADwAAAGRycy9kb3ducmV2LnhtbESPQUsDMRSE74L/IbxCbzapFanbpkWF&#10;4l7t9tDjY/NMlm5eliR2V3+9EQSPw8x8w2z3k+/FlWLqAmtYLhQI4jaYjq2GU3O4W4NIGdlgH5g0&#10;fFGC/e72ZouVCSO/0/WYrSgQThVqcDkPlZSpdeQxLcJAXLyPED3mIqOVJuJY4L6X90o9So8dlwWH&#10;A706ai/HT68hmuFQk2++a6Xcyr692HNzGbWez6bnDYhMU/4P/7Vro+HpYQm/Z8oR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OwQ/DAAAA3AAAAA8AAAAAAAAAAAAA&#10;AAAAoQIAAGRycy9kb3ducmV2LnhtbFBLBQYAAAAABAAEAPkAAACRAwAAAAA=&#10;" strokecolor="#335a8a">
                    <v:stroke endarrow="open"/>
                  </v:shape>
                  <v:shape id="Łącznik prosty ze strzałką 434" o:spid="_x0000_s1220" type="#_x0000_t32" style="position:absolute;left:63613;top:9625;width:95;height:46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Jwp8UAAADcAAAADwAAAGRycy9kb3ducmV2LnhtbESPQWvCQBSE74X+h+UVeqsbo9UaXaUp&#10;WMSLJG3vz+wzCc2+DdmNpv/eFQoeh5n5hlltBtOIM3WutqxgPIpAEBdW11wq+P7avryBcB5ZY2OZ&#10;FPyRg8368WGFibYXzuic+1IECLsEFVTet4mUrqjIoBvZljh4J9sZ9EF2pdQdXgLcNDKOopk0WHNY&#10;qLClj4qK37w3Cibzo0tPP69xX+4nh92nTfNslin1/DS8L0F4Gvw9/N/eaQWLaQy3M+EIyP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Jwp8UAAADcAAAADwAAAAAAAAAA&#10;AAAAAAChAgAAZHJzL2Rvd25yZXYueG1sUEsFBgAAAAAEAAQA+QAAAJMDAAAAAA==&#10;" strokecolor="#335a8a">
                    <v:stroke endarrow="open"/>
                  </v:shape>
                  <v:shape id="Łącznik prosty ze strzałką 436" o:spid="_x0000_s1221" type="#_x0000_t32" style="position:absolute;left:84756;top:9625;width:96;height:46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7VPMUAAADcAAAADwAAAGRycy9kb3ducmV2LnhtbESPQWvCQBSE74X+h+UVvNWNptUaXaUK&#10;LeJFkrb3Z/aZhGbfhuyapP/eFQoeh5n5hlltBlOLjlpXWVYwGUcgiHOrKy4UfH99PL+BcB5ZY22Z&#10;FPyRg8368WGFibY9p9RlvhABwi5BBaX3TSKly0sy6Ma2IQ7e2bYGfZBtIXWLfYCbWk6jaCYNVhwW&#10;SmxoV1L+m12Mgnh+ctvzz+v0Uhzi4/7TbrN0lio1ehrelyA8Df4e/m/vtYLFSwy3M+EIyP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7VPMUAAADcAAAADwAAAAAAAAAA&#10;AAAAAAChAgAAZHJzL2Rvd25yZXYueG1sUEsFBgAAAAAEAAQA+QAAAJMDAAAAAA==&#10;" strokecolor="#335a8a">
                    <v:stroke endarrow="open"/>
                  </v:shape>
                  <w10:wrap type="none"/>
                  <w10:anchorlock/>
                </v:group>
              </w:pict>
            </w:r>
          </w:p>
        </w:tc>
      </w:tr>
    </w:tbl>
    <w:p w:rsidR="002A4B9A" w:rsidRPr="00424449" w:rsidRDefault="002A4B9A" w:rsidP="002A4B9A">
      <w:pPr>
        <w:jc w:val="center"/>
        <w:rPr>
          <w:i/>
        </w:rPr>
      </w:pPr>
      <w:r w:rsidRPr="00424449">
        <w:rPr>
          <w:i/>
        </w:rPr>
        <w:t>Źródło: Opracowanie własne.</w:t>
      </w:r>
    </w:p>
    <w:p w:rsidR="00424449" w:rsidRPr="003E6234" w:rsidRDefault="00424449" w:rsidP="002A4B9A">
      <w:pPr>
        <w:pStyle w:val="NormalnyWeb"/>
        <w:rPr>
          <w:rFonts w:asciiTheme="minorHAnsi" w:hAnsiTheme="minorHAnsi" w:cstheme="minorBidi"/>
          <w:sz w:val="18"/>
          <w:szCs w:val="18"/>
        </w:rPr>
        <w:sectPr w:rsidR="00424449" w:rsidRPr="003E6234" w:rsidSect="00607AE2">
          <w:pgSz w:w="16838" w:h="11906" w:orient="landscape"/>
          <w:pgMar w:top="1985" w:right="1418" w:bottom="1418" w:left="1418" w:header="709" w:footer="709" w:gutter="0"/>
          <w:cols w:space="708"/>
          <w:titlePg/>
          <w:docGrid w:linePitch="360"/>
        </w:sectPr>
      </w:pPr>
    </w:p>
    <w:p w:rsidR="00424449" w:rsidRPr="00A42AA3" w:rsidRDefault="00424449" w:rsidP="00FD5E31">
      <w:pPr>
        <w:pStyle w:val="NormalnyWeb"/>
        <w:jc w:val="both"/>
        <w:rPr>
          <w:rFonts w:asciiTheme="minorHAnsi" w:hAnsiTheme="minorHAnsi" w:cstheme="minorHAnsi"/>
          <w:i/>
          <w:sz w:val="22"/>
          <w:szCs w:val="22"/>
        </w:rPr>
      </w:pPr>
      <w:r w:rsidRPr="00A42AA3">
        <w:rPr>
          <w:rFonts w:asciiTheme="minorHAnsi" w:hAnsiTheme="minorHAnsi" w:cstheme="minorHAnsi"/>
          <w:b/>
          <w:i/>
          <w:color w:val="1F497D" w:themeColor="text1"/>
          <w:sz w:val="22"/>
          <w:szCs w:val="22"/>
        </w:rPr>
        <w:lastRenderedPageBreak/>
        <w:t>PI 10.1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p w:rsidR="00424449" w:rsidRPr="003E6234" w:rsidRDefault="00424449" w:rsidP="00BC2878">
      <w:r w:rsidRPr="003E6234">
        <w:t>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 (PI 10.1)W ramach priorytetu 10.1 sformułowano dwa cele szczegółowe:</w:t>
      </w:r>
    </w:p>
    <w:p w:rsidR="00424449" w:rsidRPr="003E6234" w:rsidRDefault="00424449" w:rsidP="000965A8">
      <w:pPr>
        <w:pStyle w:val="Akapitzlist"/>
        <w:numPr>
          <w:ilvl w:val="0"/>
          <w:numId w:val="22"/>
        </w:numPr>
        <w:rPr>
          <w:rFonts w:eastAsia="Calibri"/>
        </w:rPr>
      </w:pPr>
      <w:r w:rsidRPr="003E6234">
        <w:rPr>
          <w:rFonts w:cstheme="minorHAnsi"/>
          <w:i/>
        </w:rPr>
        <w:t xml:space="preserve">upowszechnienie edukacji przedszkolnej </w:t>
      </w:r>
      <w:r w:rsidRPr="003E6234">
        <w:t>– odpowiada wskazanemu w diagnozie problemowi;</w:t>
      </w:r>
    </w:p>
    <w:p w:rsidR="00424449" w:rsidRPr="003E6234" w:rsidRDefault="00424449" w:rsidP="000965A8">
      <w:pPr>
        <w:pStyle w:val="Akapitzlist"/>
        <w:numPr>
          <w:ilvl w:val="0"/>
          <w:numId w:val="22"/>
        </w:numPr>
        <w:rPr>
          <w:i/>
          <w:iCs/>
        </w:rPr>
      </w:pPr>
      <w:r w:rsidRPr="00A42AA3">
        <w:rPr>
          <w:i/>
          <w:iCs/>
        </w:rPr>
        <w:t xml:space="preserve">Poprawa funkcjonowania szkół i placówek systemu oświaty </w:t>
      </w:r>
      <w:r w:rsidRPr="003E6234">
        <w:t>– jest ogólnie sformułowany, ale odpowiada wyzwaniom określonym w diagnozie w zakresie kształcenia ogólnego oraz doskonalenia nauczycieli.</w:t>
      </w:r>
    </w:p>
    <w:p w:rsidR="00424449" w:rsidRPr="003E6234" w:rsidRDefault="00424449" w:rsidP="00BC2878">
      <w:r w:rsidRPr="003E6234">
        <w:t xml:space="preserve">Typy projektów przewidziane priorytetem inwestycyjnym są trafnie określone – szczególnie należy pozytywnie ocenić wskazanie na konieczność tworzenia nowych miejsc w placówkach wychowania przedszkolnego z wykorzystaniem przede wszystkim istniejącej bazy lokalowej gmin. Jest to szczególnie istotne wobec prognozowanego przez GUS zmniejszenia liczby dzieci w wieku przedszkolnym. Do roku 2023, tylko w wyniku zmian demograficznych odsetek dzieci objętych edukacją przedszkolną </w:t>
      </w:r>
      <w:r>
        <w:t xml:space="preserve">w województwie podkarpackim </w:t>
      </w:r>
      <w:r w:rsidRPr="003E6234">
        <w:t>wzrośnie do 68,5%.</w:t>
      </w:r>
      <w:r w:rsidRPr="003E6234">
        <w:rPr>
          <w:rStyle w:val="Odwoanieprzypisudolnego"/>
        </w:rPr>
        <w:footnoteReference w:id="103"/>
      </w:r>
      <w:r w:rsidRPr="003E6234">
        <w:t xml:space="preserve"> </w:t>
      </w:r>
    </w:p>
    <w:p w:rsidR="00424449" w:rsidRPr="003E6234" w:rsidRDefault="00424449" w:rsidP="00BC2878">
      <w:r w:rsidRPr="003E6234">
        <w:t>Niezwykle istotnym kierunkiem interwencji jest również podnoszenia kompetencji nauczycieli w</w:t>
      </w:r>
      <w:r w:rsidR="002F7C58">
        <w:t> </w:t>
      </w:r>
      <w:r w:rsidRPr="003E6234">
        <w:t xml:space="preserve"> pracy z małymi dziećmi.</w:t>
      </w:r>
      <w:r w:rsidRPr="003E6234">
        <w:rPr>
          <w:rStyle w:val="Odwoanieprzypisudolnego"/>
        </w:rPr>
        <w:footnoteReference w:id="104"/>
      </w:r>
      <w:r w:rsidRPr="003E6234">
        <w:t xml:space="preserve"> Jak pokazują badania</w:t>
      </w:r>
      <w:r w:rsidRPr="003E6234">
        <w:rPr>
          <w:rStyle w:val="Odwoanieprzypisudolnego"/>
        </w:rPr>
        <w:footnoteReference w:id="105"/>
      </w:r>
      <w:r w:rsidRPr="003E6234">
        <w:t>, istnieje duża potrzeba inwestycji w ten obszar. Realizacja zaplanowanych działań stwarza realne szanse zwiększenia uczestnictwa w edukacji dzieci od trzeciego roku życia, ale także poprawę jej jakości.</w:t>
      </w:r>
    </w:p>
    <w:p w:rsidR="00424449" w:rsidRPr="003E6234" w:rsidRDefault="00424449" w:rsidP="00BC2878">
      <w:r w:rsidRPr="003E6234">
        <w:t xml:space="preserve">Podnoszenie jakości kształcenia jest procesem złożonymi i zwykle proste interwencje nie przynoszą zamierzonych skutków. Dlatego też pozytywnie należy ocenić propozycję odejścia od prostego kształcenia nauczycieli w kierunku wspierania pracy szkół, w ramach którego doskonalenie kompetencji kadry jest jednym z elementów, zintegrowanym z innymi. Dotychczasowe doświadczenia pilotażu, wdrażanego przez Ośrodek Rozwoju Edukacji, wskazują na pozytywną ocenę tego podejścia. </w:t>
      </w:r>
    </w:p>
    <w:p w:rsidR="00424449" w:rsidRPr="003E6234" w:rsidRDefault="00424449" w:rsidP="00BC2878">
      <w:r w:rsidRPr="003E6234">
        <w:t>Dobrze również należy ocenić propozycję objęcia wsparciem zarówno szkół zawodowych, jak i</w:t>
      </w:r>
      <w:r w:rsidR="002F7C58">
        <w:t> </w:t>
      </w:r>
      <w:r w:rsidRPr="003E6234">
        <w:t xml:space="preserve"> ogólnokształcących. Szkoły zawodowe mierzą się z podobnymi, jeśli nie większymi, problemami związanymi z kształceniem ogólnym i deficytem uniwersalnych kompetencji pedagogicznych. Dlatego </w:t>
      </w:r>
      <w:r w:rsidRPr="003E6234">
        <w:lastRenderedPageBreak/>
        <w:t xml:space="preserve">też planowana w PI 10.3 bis inwestycja w nauczycieli kształcenia zawodowego, bez wsparcia dodatkowego w ramach kształcenia ogólnego, będzie niewystarczająca. </w:t>
      </w:r>
    </w:p>
    <w:p w:rsidR="00424449" w:rsidRPr="003E6234" w:rsidRDefault="00424449" w:rsidP="00BC2878">
      <w:r w:rsidRPr="003E6234">
        <w:t>W zakresie podnoszenia jakości edukacji na poziomie podstawowym i gimnazjalnym i dostosowania jej do rzeczywistych potrzeb odbiorców należy pozytywnie ocenić koncentrację na kompetencjach kluczowych i postawach uczniów (będących podstawą do dalszego efektywnego kształcenia, a także odnalezienia się na rynku pracy</w:t>
      </w:r>
      <w:r w:rsidRPr="003E6234">
        <w:rPr>
          <w:rStyle w:val="Odwoanieprzypisudolnego"/>
        </w:rPr>
        <w:footnoteReference w:id="106"/>
      </w:r>
      <w:r w:rsidRPr="003E6234">
        <w:t xml:space="preserve">) oraz rozwijaniu metod aktywnego i praktycznego uczenia się. </w:t>
      </w:r>
    </w:p>
    <w:p w:rsidR="00424449" w:rsidRPr="003E6234" w:rsidRDefault="00424449" w:rsidP="00424449">
      <w:r w:rsidRPr="003E6234">
        <w:t>Zakres interwencji zarysowany jest bardzo szeroko. Dlatego na poziomie dokumentów wdrożeniowych sugeruje się zawrzeć zapisy ograniczające stosowanie instrumentów o niskiej efektywności i skuteczności. Dotyczy to zwłaszcza nadmiernego wykorzystania zajęć dodatkowych i</w:t>
      </w:r>
      <w:r w:rsidR="002F7C58">
        <w:t> </w:t>
      </w:r>
      <w:r w:rsidRPr="003E6234">
        <w:t xml:space="preserve"> pozalekcyjnych (np. w zakresie rozwijania kompetencji kluczowych). Badania wykazują, że forma zajęć pozalekcyjnych (z założenia nieobowiązkowa oraz odbywająca się w godzinach popołudniowych) może mieć pozytywny wpływ na osiągnięcia ucznia (zwłaszcza zajęcia wyrównawcze)</w:t>
      </w:r>
      <w:r w:rsidRPr="003E6234">
        <w:rPr>
          <w:rStyle w:val="Odwoanieprzypisudolnego"/>
        </w:rPr>
        <w:footnoteReference w:id="107"/>
      </w:r>
      <w:r w:rsidRPr="003E6234">
        <w:t>. Warto jednak uwzględnić również kwestię obciążenia uczniów dodatkowymi zajęciami</w:t>
      </w:r>
      <w:r w:rsidRPr="003E6234">
        <w:rPr>
          <w:vertAlign w:val="superscript"/>
        </w:rPr>
        <w:footnoteReference w:id="108"/>
      </w:r>
      <w:r w:rsidRPr="003E6234">
        <w:t>, zwłaszcza uczniów o specjalnych potrzebach edukacyjnych, dla których także przewidziano wsparcie w formie dodatkowych zajęć. Dodatkowo istnieje bardzo wysokie ryzyko braku ciągłości finansowania interwencji po zakończeniu funduszy.</w:t>
      </w:r>
    </w:p>
    <w:p w:rsidR="00424449" w:rsidRPr="003E6234" w:rsidRDefault="00424449" w:rsidP="00424449">
      <w:r w:rsidRPr="003E6234">
        <w:t>Zajęcia dodatkowe nie są jednak instrumentem charakteryzującym się największym wpływem na efekty nauczania. Sugeruje się uwzględnienie w dokumentach niższego rzędu wobec RPO WP 2014-2020 położenie większego nacisku na doskonalenie procesów zachodzących w trakcie lekcji pomiędzy uczniem a nauczycielem.</w:t>
      </w:r>
      <w:r w:rsidRPr="003E6234">
        <w:rPr>
          <w:rStyle w:val="Odwoanieprzypisudolnego"/>
        </w:rPr>
        <w:footnoteReference w:id="109"/>
      </w:r>
      <w:r w:rsidRPr="003E6234">
        <w:t xml:space="preserve"> Jak pokazują analizy wielu badań, to właśnie na tym poziomie najbardziej uwidaczniają się różnice pomiędzy wysokimi a niskimi wynikami edukacyjnymi. </w:t>
      </w:r>
    </w:p>
    <w:p w:rsidR="00424449" w:rsidRPr="003E6234" w:rsidRDefault="00424449" w:rsidP="00424449">
      <w:pPr>
        <w:rPr>
          <w:rFonts w:eastAsia="Calibri"/>
        </w:rPr>
      </w:pPr>
      <w:r w:rsidRPr="003E6234">
        <w:t>Rekomenduje się także wprowadzenie w dokumentach wykonawczych do RPO WP 2014-2020 mechanizmów podwyższających trwałość powstałych/ powstających ośrodków opieki przedszkolnej, zwłaszcza na terenach wiejskich.</w:t>
      </w:r>
      <w:r w:rsidRPr="003E6234">
        <w:rPr>
          <w:rStyle w:val="Odwoanieprzypisudolnego"/>
        </w:rPr>
        <w:footnoteReference w:id="110"/>
      </w:r>
    </w:p>
    <w:p w:rsidR="00424449" w:rsidRPr="003E6234" w:rsidRDefault="00424449" w:rsidP="00BC2878">
      <w:pPr>
        <w:pStyle w:val="Nagwek4"/>
        <w:rPr>
          <w:rFonts w:asciiTheme="minorHAnsi" w:hAnsiTheme="minorHAnsi"/>
        </w:rPr>
      </w:pPr>
      <w:r w:rsidRPr="003E6234">
        <w:rPr>
          <w:rFonts w:asciiTheme="minorHAnsi" w:hAnsiTheme="minorHAnsi"/>
        </w:rPr>
        <w:lastRenderedPageBreak/>
        <w:t>PI 10.3 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p>
    <w:p w:rsidR="00424449" w:rsidRPr="003E6234" w:rsidRDefault="00424449" w:rsidP="000B3173">
      <w:pPr>
        <w:spacing w:before="240"/>
      </w:pPr>
      <w:r w:rsidRPr="003E6234">
        <w:t xml:space="preserve">Wskazany dla priorytetu cel szczegółowy </w:t>
      </w:r>
      <w:r w:rsidRPr="003E6234">
        <w:rPr>
          <w:i/>
        </w:rPr>
        <w:t>upowszechnienie kształcenia ustawicznego</w:t>
      </w:r>
      <w:r w:rsidRPr="003E6234">
        <w:rPr>
          <w:b/>
        </w:rPr>
        <w:t xml:space="preserve"> </w:t>
      </w:r>
      <w:r w:rsidRPr="003E6234">
        <w:t xml:space="preserve">został poprawnie zdefiniowany i odpowiada zdiagnozowanym deficytom i problemom województwa. Jak wykazano w diagnozie, w województwie podkarpackim bardzo mało osób uczestniczy w kształceniu ustawicznym. Dotyczy to szczególnie osób starszych i o niższych kwalifikacjach. </w:t>
      </w:r>
    </w:p>
    <w:p w:rsidR="00424449" w:rsidRPr="003E6234" w:rsidRDefault="00424449" w:rsidP="002A4B9A">
      <w:r w:rsidRPr="003E6234">
        <w:t>W programie przewidziano głównie kształcenie w formach szkolnych i pozaszkolnych, a grupą docelową są osoby dorosłe, które z własnej inicjatywy chcą podnosić swoje kompetencje, z</w:t>
      </w:r>
      <w:r w:rsidR="002F7C58">
        <w:t> </w:t>
      </w:r>
      <w:r w:rsidRPr="003E6234">
        <w:t xml:space="preserve"> preferencjami dla wybranych grup. Proponowane podejście należy generalnie ocenić pozytywnie. Szczególnie dobrym rozwiązaniem jest położenie nacisku na trafność oferty kształcenia ustawicznego, a więc dopasowanie oferty szkoleniowej do potrzeb rynku pracy.</w:t>
      </w:r>
      <w:r w:rsidRPr="003E6234">
        <w:rPr>
          <w:vertAlign w:val="superscript"/>
        </w:rPr>
        <w:footnoteReference w:id="111"/>
      </w:r>
      <w:r w:rsidRPr="003E6234">
        <w:t xml:space="preserve"> </w:t>
      </w:r>
      <w:r w:rsidRPr="00A42AA3">
        <w:t>Warto w uszczegółowieniu programu wskazać w jaki sposób mechanizm popytowy będzie odnosił się do indywidualnych osób</w:t>
      </w:r>
      <w:r w:rsidRPr="003E6234">
        <w:t xml:space="preserve">. </w:t>
      </w:r>
    </w:p>
    <w:p w:rsidR="00424449" w:rsidRPr="003E6234" w:rsidRDefault="00424449" w:rsidP="00424449">
      <w:r w:rsidRPr="003E6234">
        <w:t>Spodziewane efekty powinno też przynieść zapowiedziane wprowadzenie kryteriów preferujących grupy najmniej aktywne na etapie wdrażania. Tu należy jednak zaznaczyć, że z badania poprzedzającego realizację projektu szkoleniowo-doradczego PARP, adresowanego do pracowników o niskich kwalifikacjach wynika, że według 60% przebadanych pracodawców osoby te charakteryzuje niechęć do podnoszenia kwalifikacji, a także brak lub bardzo małe doświadczenie zawodowe.</w:t>
      </w:r>
      <w:r w:rsidRPr="003E6234">
        <w:rPr>
          <w:vertAlign w:val="superscript"/>
        </w:rPr>
        <w:footnoteReference w:id="112"/>
      </w:r>
      <w:r w:rsidRPr="003E6234">
        <w:rPr>
          <w:vertAlign w:val="superscript"/>
        </w:rPr>
        <w:t xml:space="preserve"> </w:t>
      </w:r>
      <w:r w:rsidRPr="003E6234">
        <w:t>Jednocześnie liczne badania wskazują na istotne różnice między pożądanymi kompetencjami w opinii odbiorców wsparcia i pracodawców.</w:t>
      </w:r>
      <w:r w:rsidRPr="003E6234">
        <w:rPr>
          <w:vertAlign w:val="superscript"/>
        </w:rPr>
        <w:footnoteReference w:id="113"/>
      </w:r>
      <w:r w:rsidRPr="003E6234">
        <w:rPr>
          <w:vertAlign w:val="superscript"/>
        </w:rPr>
        <w:t xml:space="preserve"> </w:t>
      </w:r>
      <w:r w:rsidRPr="003E6234">
        <w:t xml:space="preserve">W programie przewiduje się doradztwo dla tego typu osób, co ocenić należy zdecydowanie pozytywnie, może to jednak okazać się niewystarczające bez rozbudowanego systemu rekrutacji. Dlatego też, na poziomie dokumentów niższego rzędu, </w:t>
      </w:r>
      <w:r w:rsidRPr="00A42AA3">
        <w:t>wskazane jest określenie minimalnych wymagań dla procesu rekrutacji i diagnozy odbiorców wsparcia oraz wskazanie mechanizmów komplementarności pomiędzy PI 10.3 a innymi PI uwzględniającymi doradztwo i podnoszenie kompetencji (np. 8.5, 8.7, 8.10, 9.4 czy też 9.8)</w:t>
      </w:r>
      <w:r w:rsidRPr="003E6234">
        <w:t xml:space="preserve">. Pozwoli to na budowanie naturalnych ścieżek przepływu między projektami aktywizującymi, a projektami z zakresu kształcenia. </w:t>
      </w:r>
    </w:p>
    <w:p w:rsidR="00424449" w:rsidRPr="003E6234" w:rsidRDefault="00424449" w:rsidP="00424449">
      <w:r w:rsidRPr="003E6234">
        <w:t>Sugerujemy, aby przedstawiony w opisie interwencji system monitorowania szkół i rynku pracy wykorzystany był dodatkowo do analizy popytu na kompetencje i kwalifikacje pracodawców i podaży ofert kształcenia ustawicznego.</w:t>
      </w:r>
      <w:r w:rsidRPr="003E6234">
        <w:rPr>
          <w:vertAlign w:val="superscript"/>
        </w:rPr>
        <w:footnoteReference w:id="114"/>
      </w:r>
      <w:r w:rsidRPr="003E6234">
        <w:t xml:space="preserve"> Z tego względu </w:t>
      </w:r>
      <w:r w:rsidRPr="00A42AA3">
        <w:t xml:space="preserve">rekomenduje się, aby w dokumentach niższego rzędu zostały wskazane mechanizmy jakie miałyby zapewnić sukces wdrożenia popytowego modelu kształcenia ustawicznego. Jest to szczególnie istotne w kontekście wydzielenia szkoleń językowych </w:t>
      </w:r>
      <w:r w:rsidRPr="00A42AA3">
        <w:lastRenderedPageBreak/>
        <w:t>oraz ICT.</w:t>
      </w:r>
      <w:r w:rsidRPr="003E6234">
        <w:t xml:space="preserve"> Chociaż tego typu kompetencje są w wielu zawodach niewątpliwie potrzebne, to istnieje ryzyko nadmiernej realizacji szkoleń z tego zakresu, które nie będą faktycznie przekładać się na poprawę sytuacji uczestników. Analiza popytu na kompetencje i kwalifikacje może przeciwdziałać temu problemowi.</w:t>
      </w:r>
    </w:p>
    <w:p w:rsidR="00424449" w:rsidRPr="003E6234" w:rsidRDefault="00424449" w:rsidP="00424449">
      <w:pPr>
        <w:pStyle w:val="Nagwek4"/>
        <w:rPr>
          <w:rFonts w:asciiTheme="minorHAnsi" w:hAnsiTheme="minorHAnsi"/>
        </w:rPr>
      </w:pPr>
      <w:r w:rsidRPr="003E6234">
        <w:rPr>
          <w:rFonts w:asciiTheme="minorHAnsi" w:hAnsiTheme="minorHAnsi"/>
        </w:rPr>
        <w:t xml:space="preserve">PI 10.3 BIS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 </w:t>
      </w:r>
    </w:p>
    <w:p w:rsidR="00424449" w:rsidRPr="003E6234" w:rsidRDefault="00424449" w:rsidP="000B3173">
      <w:pPr>
        <w:spacing w:before="240"/>
      </w:pPr>
      <w:r w:rsidRPr="003E6234">
        <w:t xml:space="preserve">Celem priorytetu inwestycyjnego jest </w:t>
      </w:r>
      <w:r w:rsidRPr="003E6234">
        <w:rPr>
          <w:i/>
        </w:rPr>
        <w:t>rozwój wysokiej jakości szkolnictwa zawodowego odpowiadającego na potrzeby regionalnego rynku pracy</w:t>
      </w:r>
      <w:r w:rsidRPr="003E6234">
        <w:rPr>
          <w:b/>
          <w:i/>
        </w:rPr>
        <w:t>.</w:t>
      </w:r>
      <w:r w:rsidRPr="003E6234">
        <w:rPr>
          <w:b/>
        </w:rPr>
        <w:t xml:space="preserve"> </w:t>
      </w:r>
      <w:r w:rsidRPr="003E6234">
        <w:t>Jest on poprawnie sformułowany i spójny ze zdiagnozowanymi deficytami.</w:t>
      </w:r>
    </w:p>
    <w:p w:rsidR="00424449" w:rsidRPr="003E6234" w:rsidRDefault="00424449" w:rsidP="00424449">
      <w:r w:rsidRPr="003E6234">
        <w:t>W ramach priorytetu zaplanowano szereg kompleksowych działań, które powinny znacząco wpłynąć na modernizację i dostosowanie szkolnictwa zawodowego do regionalnego, i lokalnego rynku pracy, a także zwiększyć jego atrakcyjność</w:t>
      </w:r>
      <w:r w:rsidRPr="003E6234">
        <w:rPr>
          <w:rStyle w:val="Odwoanieprzypisudolnego"/>
        </w:rPr>
        <w:footnoteReference w:id="115"/>
      </w:r>
      <w:r w:rsidRPr="003E6234">
        <w:t xml:space="preserve"> i dostępność. Sprzyjać będą temu działania realizowane w</w:t>
      </w:r>
      <w:r w:rsidR="002F7C58">
        <w:t> </w:t>
      </w:r>
      <w:r w:rsidRPr="003E6234">
        <w:t xml:space="preserve"> powiązaniu z instytucjami rynku pracy, m.in. w zakresie doradztwa edukacyjno-zawodowego oraz zwiększenie poziomu współpracy szkół zawodowych z pracodawcami, włączając w to aktualizację kompetencji zawodowych nauczycieli.</w:t>
      </w:r>
      <w:r w:rsidRPr="003E6234">
        <w:rPr>
          <w:rStyle w:val="Odwoanieprzypisudolnego"/>
        </w:rPr>
        <w:footnoteReference w:id="116"/>
      </w:r>
      <w:r w:rsidRPr="003E6234">
        <w:t xml:space="preserve"> Przedsięwzięcia dotyczące zwiększenia udziału pracodawców w kształceniu zawodowym i jego powiązań z otoczeniem społeczno-gospodarczym, w</w:t>
      </w:r>
      <w:r w:rsidR="002F7C58">
        <w:t> </w:t>
      </w:r>
      <w:r w:rsidRPr="003E6234">
        <w:t xml:space="preserve"> tym współpracy ze szkołami wyższymi, wymagają jednak doprecyzowania na poziomie dokumentów niższego rzędu.</w:t>
      </w:r>
      <w:r w:rsidRPr="003E6234">
        <w:rPr>
          <w:rStyle w:val="Odwoanieprzypisudolnego"/>
        </w:rPr>
        <w:footnoteReference w:id="117"/>
      </w:r>
    </w:p>
    <w:p w:rsidR="00424449" w:rsidRPr="003E6234" w:rsidRDefault="00424449" w:rsidP="00BC2878">
      <w:pPr>
        <w:pStyle w:val="Nagwek3"/>
        <w:rPr>
          <w:rFonts w:asciiTheme="minorHAnsi" w:eastAsia="Times New Roman" w:hAnsiTheme="minorHAnsi" w:cs="Times New Roman"/>
        </w:rPr>
      </w:pPr>
      <w:r w:rsidRPr="003E6234">
        <w:rPr>
          <w:rFonts w:asciiTheme="minorHAnsi" w:hAnsiTheme="minorHAnsi"/>
        </w:rPr>
        <w:t>Ocena wskaźników</w:t>
      </w:r>
    </w:p>
    <w:p w:rsidR="00424449" w:rsidRPr="003E6234" w:rsidRDefault="00424449" w:rsidP="00BC2878">
      <w:pPr>
        <w:pStyle w:val="Nagwek4"/>
        <w:rPr>
          <w:rFonts w:asciiTheme="minorHAnsi" w:hAnsiTheme="minorHAnsi"/>
        </w:rPr>
      </w:pPr>
      <w:r w:rsidRPr="003E6234">
        <w:rPr>
          <w:rFonts w:asciiTheme="minorHAnsi" w:hAnsiTheme="minorHAnsi"/>
        </w:rPr>
        <w:t>Wskaźniki rezultatu strategicznego</w:t>
      </w:r>
    </w:p>
    <w:p w:rsidR="00424449" w:rsidRPr="006F471C" w:rsidRDefault="00424449" w:rsidP="00424449">
      <w:pPr>
        <w:rPr>
          <w:i/>
          <w:iCs/>
        </w:rPr>
      </w:pPr>
      <w:r w:rsidRPr="003E6234">
        <w:t>Dla każdego z priorytetów inwestycyjnych wskazano jeden lub dwa wskaźniki r</w:t>
      </w:r>
      <w:r w:rsidR="006F471C">
        <w:t xml:space="preserve">ezultatu strategicznego. </w:t>
      </w:r>
      <w:r w:rsidR="006F471C" w:rsidRPr="003E6234">
        <w:t xml:space="preserve"> </w:t>
      </w:r>
      <w:r w:rsidR="006F471C">
        <w:t>S</w:t>
      </w:r>
      <w:r w:rsidRPr="003E6234">
        <w:t>tanowią one miary odzwierciedlające kluczowe rezultaty interwencji dla całej osi i</w:t>
      </w:r>
      <w:r w:rsidR="002F7C58">
        <w:t> </w:t>
      </w:r>
      <w:r w:rsidRPr="003E6234">
        <w:t xml:space="preserve"> poszczególnych priorytetów inwestycyjnych. </w:t>
      </w:r>
    </w:p>
    <w:p w:rsidR="00424449" w:rsidRPr="003E6234" w:rsidRDefault="00424449" w:rsidP="00F77052">
      <w:pPr>
        <w:pStyle w:val="NormalnyWeb"/>
        <w:keepNext/>
        <w:jc w:val="center"/>
        <w:rPr>
          <w:rFonts w:asciiTheme="minorHAnsi" w:eastAsia="Calibri" w:hAnsiTheme="minorHAnsi"/>
          <w:b/>
          <w:bCs/>
          <w:color w:val="366092" w:themeColor="accent1"/>
          <w:sz w:val="18"/>
          <w:szCs w:val="18"/>
        </w:rPr>
      </w:pPr>
      <w:r w:rsidRPr="003E6234">
        <w:rPr>
          <w:rFonts w:asciiTheme="minorHAnsi" w:hAnsiTheme="minorHAnsi"/>
          <w:b/>
          <w:bCs/>
          <w:color w:val="366092" w:themeColor="accent1"/>
          <w:sz w:val="18"/>
          <w:szCs w:val="18"/>
        </w:rPr>
        <w:t xml:space="preserve">Tabela </w:t>
      </w:r>
      <w:r w:rsidR="001B04AC" w:rsidRPr="00A42AA3">
        <w:rPr>
          <w:rFonts w:asciiTheme="minorHAnsi" w:hAnsiTheme="minorHAnsi"/>
          <w:b/>
          <w:bCs/>
          <w:color w:val="366092" w:themeColor="accent1"/>
          <w:sz w:val="18"/>
          <w:szCs w:val="18"/>
        </w:rPr>
        <w:fldChar w:fldCharType="begin"/>
      </w:r>
      <w:r w:rsidRPr="003E6234">
        <w:rPr>
          <w:rFonts w:asciiTheme="minorHAnsi" w:hAnsiTheme="minorHAnsi"/>
          <w:b/>
          <w:bCs/>
          <w:color w:val="366092" w:themeColor="accent1"/>
          <w:sz w:val="18"/>
          <w:szCs w:val="18"/>
        </w:rPr>
        <w:instrText xml:space="preserve"> SEQ Tabela \* ARABIC </w:instrText>
      </w:r>
      <w:r w:rsidR="001B04AC" w:rsidRPr="00A42AA3">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31</w:t>
      </w:r>
      <w:r w:rsidR="001B04AC" w:rsidRPr="00A42AA3">
        <w:rPr>
          <w:rFonts w:asciiTheme="minorHAnsi" w:hAnsiTheme="minorHAnsi"/>
          <w:b/>
          <w:bCs/>
          <w:color w:val="366092" w:themeColor="accent1"/>
          <w:sz w:val="18"/>
          <w:szCs w:val="18"/>
        </w:rPr>
        <w:fldChar w:fldCharType="end"/>
      </w:r>
      <w:r w:rsidRPr="003E6234">
        <w:rPr>
          <w:rFonts w:asciiTheme="minorHAnsi" w:hAnsiTheme="minorHAnsi"/>
          <w:b/>
          <w:bCs/>
          <w:color w:val="366092" w:themeColor="accent1"/>
          <w:sz w:val="18"/>
          <w:szCs w:val="18"/>
        </w:rPr>
        <w:t>. Oś priorytetowa IX – ocena wskaźników rezultatu strategicznego</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3794"/>
        <w:gridCol w:w="1984"/>
        <w:gridCol w:w="3508"/>
      </w:tblGrid>
      <w:tr w:rsidR="00424449" w:rsidRPr="003E6234" w:rsidTr="00DF7D23">
        <w:tc>
          <w:tcPr>
            <w:tcW w:w="37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120" w:after="120" w:line="276" w:lineRule="auto"/>
              <w:jc w:val="center"/>
              <w:rPr>
                <w:rFonts w:eastAsia="Calibri" w:cs="Times New Roman"/>
                <w:b/>
                <w:color w:val="FFFFFF" w:themeColor="background1"/>
                <w:sz w:val="20"/>
              </w:rPr>
            </w:pPr>
            <w:r w:rsidRPr="003E6234">
              <w:rPr>
                <w:b/>
                <w:color w:val="FFFFFF" w:themeColor="background1"/>
                <w:sz w:val="20"/>
              </w:rPr>
              <w:t>wskaźnik rezultatu</w:t>
            </w:r>
          </w:p>
        </w:tc>
        <w:tc>
          <w:tcPr>
            <w:tcW w:w="19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120" w:after="120" w:line="276" w:lineRule="auto"/>
              <w:jc w:val="center"/>
              <w:rPr>
                <w:rFonts w:eastAsia="Calibri" w:cs="Times New Roman"/>
                <w:b/>
                <w:color w:val="FFFFFF" w:themeColor="background1"/>
                <w:sz w:val="20"/>
              </w:rPr>
            </w:pPr>
            <w:r w:rsidRPr="003E6234">
              <w:rPr>
                <w:b/>
                <w:color w:val="FFFFFF" w:themeColor="background1"/>
                <w:sz w:val="20"/>
              </w:rPr>
              <w:t>priorytety inwestycyjne</w:t>
            </w:r>
          </w:p>
        </w:tc>
        <w:tc>
          <w:tcPr>
            <w:tcW w:w="3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120" w:after="120" w:line="276" w:lineRule="auto"/>
              <w:jc w:val="center"/>
              <w:rPr>
                <w:rFonts w:eastAsia="Calibri" w:cs="Times New Roman"/>
                <w:b/>
                <w:color w:val="FFFFFF" w:themeColor="background1"/>
                <w:sz w:val="20"/>
              </w:rPr>
            </w:pPr>
            <w:r w:rsidRPr="003E6234">
              <w:rPr>
                <w:b/>
                <w:color w:val="FFFFFF" w:themeColor="background1"/>
                <w:sz w:val="20"/>
              </w:rPr>
              <w:t>ocena doboru wskaźnika</w:t>
            </w:r>
          </w:p>
        </w:tc>
      </w:tr>
      <w:tr w:rsidR="00424449" w:rsidRPr="003E6234" w:rsidTr="002A4B9A">
        <w:tc>
          <w:tcPr>
            <w:tcW w:w="37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42AA3" w:rsidRDefault="00424449" w:rsidP="002A4B9A">
            <w:pPr>
              <w:spacing w:before="60" w:after="60" w:line="276" w:lineRule="auto"/>
              <w:jc w:val="center"/>
              <w:rPr>
                <w:rFonts w:cs="Arial"/>
                <w:i/>
                <w:sz w:val="20"/>
                <w:szCs w:val="20"/>
              </w:rPr>
            </w:pPr>
            <w:r w:rsidRPr="00A42AA3">
              <w:rPr>
                <w:rFonts w:cs="Arial"/>
                <w:i/>
                <w:sz w:val="20"/>
                <w:szCs w:val="20"/>
              </w:rPr>
              <w:t xml:space="preserve">Liczba przedszkoli, które funkcjonują 2 lata </w:t>
            </w:r>
            <w:r w:rsidRPr="00A42AA3">
              <w:rPr>
                <w:rFonts w:cs="Arial"/>
                <w:i/>
                <w:sz w:val="20"/>
                <w:szCs w:val="20"/>
              </w:rPr>
              <w:lastRenderedPageBreak/>
              <w:t>po uzyskaniu dofinansowania ze środków EFS</w:t>
            </w:r>
          </w:p>
        </w:tc>
        <w:tc>
          <w:tcPr>
            <w:tcW w:w="19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lastRenderedPageBreak/>
              <w:t>10.1</w:t>
            </w:r>
          </w:p>
        </w:tc>
        <w:tc>
          <w:tcPr>
            <w:tcW w:w="3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Brak uwag</w:t>
            </w:r>
          </w:p>
        </w:tc>
      </w:tr>
      <w:tr w:rsidR="00424449" w:rsidRPr="003E6234" w:rsidTr="002A4B9A">
        <w:tc>
          <w:tcPr>
            <w:tcW w:w="37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60" w:after="60" w:line="276" w:lineRule="auto"/>
              <w:contextualSpacing/>
              <w:jc w:val="center"/>
              <w:rPr>
                <w:rFonts w:cs="Arial"/>
                <w:i/>
                <w:sz w:val="20"/>
                <w:szCs w:val="20"/>
              </w:rPr>
            </w:pPr>
            <w:r w:rsidRPr="00A42AA3">
              <w:rPr>
                <w:rFonts w:cs="Arial"/>
                <w:i/>
                <w:sz w:val="20"/>
                <w:szCs w:val="20"/>
              </w:rPr>
              <w:lastRenderedPageBreak/>
              <w:t>Liczba nauczycieli prowadzących zajęcia z wykorzystaniem TIK dzięki EFS</w:t>
            </w:r>
          </w:p>
        </w:tc>
        <w:tc>
          <w:tcPr>
            <w:tcW w:w="19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10.1</w:t>
            </w:r>
          </w:p>
        </w:tc>
        <w:tc>
          <w:tcPr>
            <w:tcW w:w="3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Brak uwag</w:t>
            </w:r>
          </w:p>
        </w:tc>
      </w:tr>
      <w:tr w:rsidR="00424449" w:rsidRPr="003E6234" w:rsidTr="002A4B9A">
        <w:tc>
          <w:tcPr>
            <w:tcW w:w="37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42AA3" w:rsidRDefault="00424449" w:rsidP="002A4B9A">
            <w:pPr>
              <w:spacing w:before="60" w:after="60" w:line="276" w:lineRule="auto"/>
              <w:contextualSpacing/>
              <w:jc w:val="center"/>
              <w:rPr>
                <w:rFonts w:cs="Arial"/>
                <w:i/>
                <w:sz w:val="20"/>
                <w:szCs w:val="20"/>
              </w:rPr>
            </w:pPr>
            <w:r w:rsidRPr="00A42AA3">
              <w:rPr>
                <w:rFonts w:cs="Arial"/>
                <w:i/>
                <w:sz w:val="20"/>
                <w:szCs w:val="20"/>
              </w:rPr>
              <w:t>Liczba osób, które nabyły kompetencje w ramach lub po opuszczeniu programu</w:t>
            </w:r>
          </w:p>
        </w:tc>
        <w:tc>
          <w:tcPr>
            <w:tcW w:w="19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10.3</w:t>
            </w:r>
          </w:p>
        </w:tc>
        <w:tc>
          <w:tcPr>
            <w:tcW w:w="3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Brak uwag</w:t>
            </w:r>
          </w:p>
        </w:tc>
      </w:tr>
      <w:tr w:rsidR="00424449" w:rsidRPr="003E6234" w:rsidTr="002A4B9A">
        <w:tc>
          <w:tcPr>
            <w:tcW w:w="37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42AA3" w:rsidRDefault="00424449" w:rsidP="002A4B9A">
            <w:pPr>
              <w:spacing w:before="60" w:after="60" w:line="276" w:lineRule="auto"/>
              <w:contextualSpacing/>
              <w:jc w:val="center"/>
              <w:rPr>
                <w:rFonts w:cs="Arial"/>
                <w:i/>
                <w:sz w:val="20"/>
                <w:szCs w:val="20"/>
              </w:rPr>
            </w:pPr>
            <w:r w:rsidRPr="00A42AA3">
              <w:rPr>
                <w:rFonts w:cs="Arial"/>
                <w:i/>
                <w:sz w:val="20"/>
                <w:szCs w:val="20"/>
              </w:rPr>
              <w:t>Liczba osób, które uzyskały kwalifikacje po opuszczeniu programu (C)</w:t>
            </w:r>
          </w:p>
        </w:tc>
        <w:tc>
          <w:tcPr>
            <w:tcW w:w="198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10.3 BIS</w:t>
            </w:r>
          </w:p>
        </w:tc>
        <w:tc>
          <w:tcPr>
            <w:tcW w:w="3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60" w:after="60" w:line="276" w:lineRule="auto"/>
              <w:contextualSpacing/>
              <w:jc w:val="center"/>
              <w:rPr>
                <w:rFonts w:cs="Arial"/>
                <w:sz w:val="20"/>
                <w:szCs w:val="20"/>
              </w:rPr>
            </w:pPr>
            <w:r w:rsidRPr="003E6234">
              <w:rPr>
                <w:rFonts w:cs="Arial"/>
                <w:sz w:val="20"/>
                <w:szCs w:val="20"/>
              </w:rPr>
              <w:t>Brak uwag</w:t>
            </w:r>
          </w:p>
        </w:tc>
      </w:tr>
    </w:tbl>
    <w:p w:rsidR="00424449" w:rsidRPr="003E6234" w:rsidRDefault="00424449" w:rsidP="00BC2878">
      <w:pPr>
        <w:pStyle w:val="rdo"/>
        <w:rPr>
          <w:rFonts w:asciiTheme="minorHAnsi" w:eastAsia="Calibri" w:hAnsiTheme="minorHAnsi"/>
        </w:rPr>
      </w:pPr>
      <w:r w:rsidRPr="003E6234">
        <w:rPr>
          <w:rFonts w:asciiTheme="minorHAnsi" w:hAnsiTheme="minorHAnsi"/>
        </w:rPr>
        <w:t>Źródło: Opracowanie własne</w:t>
      </w:r>
    </w:p>
    <w:p w:rsidR="00424449" w:rsidRPr="003E6234" w:rsidRDefault="00424449" w:rsidP="00BC2878">
      <w:pPr>
        <w:pStyle w:val="Nagwek4"/>
        <w:rPr>
          <w:rFonts w:asciiTheme="minorHAnsi" w:hAnsiTheme="minorHAnsi"/>
        </w:rPr>
      </w:pPr>
      <w:r w:rsidRPr="003E6234">
        <w:rPr>
          <w:rFonts w:asciiTheme="minorHAnsi" w:hAnsiTheme="minorHAnsi"/>
        </w:rPr>
        <w:t>Wskaźniki typu output</w:t>
      </w:r>
    </w:p>
    <w:p w:rsidR="00424449" w:rsidRPr="003E6234" w:rsidRDefault="00424449" w:rsidP="00BC2878">
      <w:r w:rsidRPr="003E6234">
        <w:t xml:space="preserve">Wskaźniki typu </w:t>
      </w:r>
      <w:r w:rsidRPr="003E6234">
        <w:rPr>
          <w:i/>
          <w:iCs/>
        </w:rPr>
        <w:t>output</w:t>
      </w:r>
      <w:r w:rsidRPr="003E6234">
        <w:t xml:space="preserve"> zostały dopasowane do logiki interwencji. W przypadku niektórych priorytetów inwestycyjnych sugeruje się jednak </w:t>
      </w:r>
      <w:r w:rsidRPr="00A42AA3">
        <w:t>wprowadzenie nieznacznych rozszerzeń w</w:t>
      </w:r>
      <w:r w:rsidR="002F7C58">
        <w:t> </w:t>
      </w:r>
      <w:r w:rsidRPr="00A42AA3">
        <w:t xml:space="preserve"> planowanym systemie monitoringu programu, który zostanie określony w dokumentach wdrożeniowych.</w:t>
      </w:r>
      <w:r w:rsidRPr="003E6234">
        <w:t xml:space="preserve"> </w:t>
      </w:r>
    </w:p>
    <w:p w:rsidR="00424449" w:rsidRPr="003E6234" w:rsidRDefault="00424449" w:rsidP="000965A8">
      <w:pPr>
        <w:pStyle w:val="Akapitzlist"/>
        <w:numPr>
          <w:ilvl w:val="0"/>
          <w:numId w:val="23"/>
        </w:numPr>
        <w:rPr>
          <w:rFonts w:eastAsia="Calibri"/>
        </w:rPr>
      </w:pPr>
      <w:r w:rsidRPr="003E6234">
        <w:t xml:space="preserve">W </w:t>
      </w:r>
      <w:r w:rsidRPr="003E6234">
        <w:rPr>
          <w:b/>
        </w:rPr>
        <w:t>priorytecie inwestycyjnym 10.1</w:t>
      </w:r>
      <w:r w:rsidRPr="003E6234">
        <w:t xml:space="preserve"> należy ocenić poprawnie zaproponowane wskaźniki. </w:t>
      </w:r>
      <w:r w:rsidRPr="003E6234">
        <w:rPr>
          <w:rFonts w:cs="Arial"/>
        </w:rPr>
        <w:t xml:space="preserve">Docelowo warto rozważyć </w:t>
      </w:r>
      <w:r w:rsidRPr="003E6234">
        <w:t xml:space="preserve">(być może na poziomie uszczegółowienia programu), aby liczbę wspartych uczniów </w:t>
      </w:r>
      <w:r w:rsidRPr="00A42AA3">
        <w:t>monitorować w podziale na wyróżnione grupy o specjalnych potrzebach edukacyjnych oraz poziomy kształcenia/ typy szkół.</w:t>
      </w:r>
    </w:p>
    <w:p w:rsidR="00424449" w:rsidRPr="003E6234" w:rsidRDefault="00424449" w:rsidP="000965A8">
      <w:pPr>
        <w:pStyle w:val="Akapitzlist"/>
        <w:numPr>
          <w:ilvl w:val="0"/>
          <w:numId w:val="23"/>
        </w:numPr>
      </w:pPr>
      <w:r w:rsidRPr="003E6234">
        <w:t xml:space="preserve">W </w:t>
      </w:r>
      <w:r w:rsidRPr="003E6234">
        <w:rPr>
          <w:b/>
        </w:rPr>
        <w:t>priorytecie inwestycyjnym 10.3</w:t>
      </w:r>
      <w:r w:rsidRPr="003E6234">
        <w:t xml:space="preserve"> miernik odnosi się do jednej z grup docelowych. Proponuje się rozważenie monitorowania na poziomie u</w:t>
      </w:r>
      <w:r>
        <w:t xml:space="preserve">szczegółowienia programu także </w:t>
      </w:r>
      <w:r w:rsidRPr="003E6234">
        <w:t xml:space="preserve">wskaźnika ogółem i wyodrębnienie wskaźnika dla wybranej/ych grup docelowych. </w:t>
      </w:r>
    </w:p>
    <w:p w:rsidR="00424449" w:rsidRPr="003E6234" w:rsidRDefault="00424449" w:rsidP="00BC2878">
      <w:pPr>
        <w:pStyle w:val="Legenda"/>
      </w:pPr>
      <w:r w:rsidRPr="003E6234">
        <w:t xml:space="preserve">Tabela </w:t>
      </w:r>
      <w:r w:rsidR="001B04AC" w:rsidRPr="00A42AA3">
        <w:fldChar w:fldCharType="begin"/>
      </w:r>
      <w:r w:rsidRPr="003E6234">
        <w:instrText xml:space="preserve"> SEQ Tabela \* ARABIC </w:instrText>
      </w:r>
      <w:r w:rsidR="001B04AC" w:rsidRPr="00A42AA3">
        <w:fldChar w:fldCharType="separate"/>
      </w:r>
      <w:r w:rsidR="00832320">
        <w:rPr>
          <w:noProof/>
        </w:rPr>
        <w:t>32</w:t>
      </w:r>
      <w:r w:rsidR="001B04AC" w:rsidRPr="00A42AA3">
        <w:fldChar w:fldCharType="end"/>
      </w:r>
      <w:r w:rsidRPr="003E6234">
        <w:t>. Oś priorytetowa IX – ocena wskaźników typu output</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934"/>
        <w:gridCol w:w="4755"/>
        <w:gridCol w:w="3597"/>
      </w:tblGrid>
      <w:tr w:rsidR="00424449" w:rsidRPr="003E6234" w:rsidTr="00424449">
        <w:trPr>
          <w:tblHeader/>
        </w:trPr>
        <w:tc>
          <w:tcPr>
            <w:tcW w:w="9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tcPr>
          <w:p w:rsidR="00424449" w:rsidRPr="003E6234" w:rsidRDefault="00424449" w:rsidP="00DF7D23">
            <w:pPr>
              <w:spacing w:before="60" w:after="60" w:line="276" w:lineRule="auto"/>
              <w:jc w:val="center"/>
              <w:rPr>
                <w:rFonts w:eastAsia="Calibri" w:cs="Times New Roman"/>
                <w:b/>
                <w:color w:val="FFFFFF" w:themeColor="background1"/>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60" w:after="60" w:line="276" w:lineRule="auto"/>
              <w:jc w:val="center"/>
              <w:rPr>
                <w:rFonts w:eastAsia="Calibri" w:cs="Times New Roman"/>
                <w:b/>
                <w:color w:val="FFFFFF" w:themeColor="background1"/>
                <w:sz w:val="20"/>
                <w:szCs w:val="20"/>
              </w:rPr>
            </w:pPr>
            <w:r w:rsidRPr="003E6234">
              <w:rPr>
                <w:b/>
                <w:color w:val="FFFFFF" w:themeColor="background1"/>
                <w:sz w:val="20"/>
                <w:szCs w:val="20"/>
              </w:rPr>
              <w:t xml:space="preserve">wskaźnik </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60" w:after="60" w:line="276" w:lineRule="auto"/>
              <w:jc w:val="center"/>
              <w:rPr>
                <w:rFonts w:eastAsia="Calibri" w:cs="Times New Roman"/>
                <w:b/>
                <w:color w:val="FFFFFF" w:themeColor="background1"/>
                <w:sz w:val="20"/>
                <w:szCs w:val="20"/>
              </w:rPr>
            </w:pPr>
            <w:r w:rsidRPr="003E6234">
              <w:rPr>
                <w:b/>
                <w:color w:val="FFFFFF" w:themeColor="background1"/>
                <w:sz w:val="20"/>
                <w:szCs w:val="20"/>
              </w:rPr>
              <w:t>ocena doboru wskaźnika</w:t>
            </w:r>
          </w:p>
        </w:tc>
      </w:tr>
      <w:tr w:rsidR="00424449" w:rsidRPr="003E6234" w:rsidTr="00424449">
        <w:tc>
          <w:tcPr>
            <w:tcW w:w="934" w:type="dxa"/>
            <w:vMerge w:val="restart"/>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A42AA3" w:rsidRDefault="00424449" w:rsidP="002A4B9A">
            <w:pPr>
              <w:spacing w:before="120" w:after="120"/>
              <w:jc w:val="center"/>
              <w:rPr>
                <w:rFonts w:eastAsia="Calibri" w:cs="Times New Roman"/>
                <w:b/>
                <w:sz w:val="20"/>
                <w:szCs w:val="20"/>
              </w:rPr>
            </w:pPr>
            <w:r w:rsidRPr="00A42AA3">
              <w:rPr>
                <w:b/>
                <w:sz w:val="20"/>
                <w:szCs w:val="20"/>
              </w:rPr>
              <w:t>10.1</w:t>
            </w: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miejsc wychowania przedszkolnego dofinansowanych w programie</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pStyle w:val="NormalnyWeb"/>
              <w:spacing w:before="120" w:beforeAutospacing="0" w:after="120" w:afterAutospacing="0"/>
              <w:contextualSpacing/>
              <w:jc w:val="center"/>
              <w:rPr>
                <w:rFonts w:asciiTheme="minorHAnsi" w:hAnsiTheme="minorHAnsi" w:cs="Arial"/>
                <w:sz w:val="20"/>
                <w:szCs w:val="20"/>
                <w:lang w:eastAsia="en-US"/>
              </w:rPr>
            </w:pPr>
            <w:r w:rsidRPr="003E6234">
              <w:rPr>
                <w:rFonts w:asciiTheme="minorHAnsi" w:hAnsiTheme="minorHAnsi" w:cs="Arial"/>
                <w:sz w:val="20"/>
                <w:szCs w:val="20"/>
              </w:rPr>
              <w:t>Brak uwag</w:t>
            </w:r>
          </w:p>
        </w:tc>
      </w:tr>
      <w:tr w:rsidR="00424449" w:rsidRPr="003E6234" w:rsidTr="00424449">
        <w:tc>
          <w:tcPr>
            <w:tcW w:w="0" w:type="auto"/>
            <w:vMerge/>
            <w:tcBorders>
              <w:left w:val="single" w:sz="4" w:space="0" w:color="808080" w:themeColor="background1" w:themeShade="80"/>
              <w:right w:val="single" w:sz="4" w:space="0" w:color="808080" w:themeColor="background1" w:themeShade="80"/>
            </w:tcBorders>
            <w:vAlign w:val="center"/>
            <w:hideMark/>
          </w:tcPr>
          <w:p w:rsidR="00424449" w:rsidRPr="00A42AA3" w:rsidRDefault="00424449" w:rsidP="002A4B9A">
            <w:pPr>
              <w:spacing w:before="120" w:after="120"/>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szkół i placówek systemu oświaty wyposażonych w ramach programu w sprzęt TIK do prowadzenia zajęć edukacyjnych</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pStyle w:val="NormalnyWeb"/>
              <w:spacing w:before="120" w:beforeAutospacing="0" w:after="120" w:afterAutospacing="0"/>
              <w:contextualSpacing/>
              <w:jc w:val="center"/>
              <w:rPr>
                <w:rFonts w:asciiTheme="minorHAnsi" w:hAnsiTheme="minorHAnsi" w:cs="Arial"/>
                <w:sz w:val="20"/>
                <w:szCs w:val="20"/>
                <w:lang w:eastAsia="en-US"/>
              </w:rPr>
            </w:pPr>
            <w:r w:rsidRPr="003E6234">
              <w:rPr>
                <w:rFonts w:asciiTheme="minorHAnsi" w:hAnsiTheme="minorHAnsi" w:cs="Arial"/>
                <w:sz w:val="20"/>
                <w:szCs w:val="20"/>
              </w:rPr>
              <w:t>Brak uwag</w:t>
            </w:r>
          </w:p>
        </w:tc>
      </w:tr>
      <w:tr w:rsidR="00424449" w:rsidRPr="003E6234" w:rsidTr="00424449">
        <w:tc>
          <w:tcPr>
            <w:tcW w:w="0" w:type="auto"/>
            <w:vMerge/>
            <w:tcBorders>
              <w:left w:val="single" w:sz="4" w:space="0" w:color="808080" w:themeColor="background1" w:themeShade="80"/>
              <w:right w:val="single" w:sz="4" w:space="0" w:color="808080" w:themeColor="background1" w:themeShade="80"/>
            </w:tcBorders>
            <w:vAlign w:val="center"/>
            <w:hideMark/>
          </w:tcPr>
          <w:p w:rsidR="00424449" w:rsidRPr="00A42AA3" w:rsidRDefault="00424449" w:rsidP="002A4B9A">
            <w:pPr>
              <w:spacing w:before="120" w:after="120"/>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nauczycieli objętych wsparciem w programie</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pStyle w:val="NormalnyWeb"/>
              <w:spacing w:before="120" w:beforeAutospacing="0" w:after="120" w:afterAutospacing="0"/>
              <w:contextualSpacing/>
              <w:jc w:val="center"/>
              <w:rPr>
                <w:rFonts w:asciiTheme="minorHAnsi" w:hAnsiTheme="minorHAnsi" w:cs="Arial"/>
                <w:sz w:val="20"/>
                <w:szCs w:val="20"/>
                <w:lang w:eastAsia="en-US"/>
              </w:rPr>
            </w:pPr>
            <w:r w:rsidRPr="003E6234">
              <w:rPr>
                <w:rFonts w:asciiTheme="minorHAnsi" w:hAnsiTheme="minorHAnsi" w:cs="Arial"/>
                <w:sz w:val="20"/>
                <w:szCs w:val="20"/>
              </w:rPr>
              <w:t>Brak uwag</w:t>
            </w:r>
          </w:p>
        </w:tc>
      </w:tr>
      <w:tr w:rsidR="00424449" w:rsidRPr="003E6234" w:rsidTr="00424449">
        <w:tc>
          <w:tcPr>
            <w:tcW w:w="0" w:type="auto"/>
            <w:vMerge/>
            <w:tcBorders>
              <w:left w:val="single" w:sz="4" w:space="0" w:color="808080" w:themeColor="background1" w:themeShade="80"/>
              <w:right w:val="single" w:sz="4" w:space="0" w:color="808080" w:themeColor="background1" w:themeShade="80"/>
            </w:tcBorders>
            <w:vAlign w:val="center"/>
            <w:hideMark/>
          </w:tcPr>
          <w:p w:rsidR="00424449" w:rsidRPr="00A42AA3" w:rsidRDefault="00424449" w:rsidP="002A4B9A">
            <w:pPr>
              <w:spacing w:before="120" w:after="120"/>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uczniów objętych wsparciem w programie</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pStyle w:val="NormalnyWeb"/>
              <w:spacing w:before="120" w:beforeAutospacing="0" w:after="120" w:afterAutospacing="0"/>
              <w:contextualSpacing/>
              <w:jc w:val="center"/>
              <w:rPr>
                <w:rFonts w:asciiTheme="minorHAnsi" w:hAnsiTheme="minorHAnsi" w:cs="Arial"/>
                <w:sz w:val="20"/>
                <w:szCs w:val="20"/>
                <w:lang w:eastAsia="en-US"/>
              </w:rPr>
            </w:pPr>
            <w:r w:rsidRPr="003E6234">
              <w:rPr>
                <w:rFonts w:asciiTheme="minorHAnsi" w:hAnsiTheme="minorHAnsi" w:cs="Arial"/>
                <w:sz w:val="20"/>
                <w:szCs w:val="20"/>
              </w:rPr>
              <w:t>Brak uwag</w:t>
            </w:r>
          </w:p>
        </w:tc>
      </w:tr>
      <w:tr w:rsidR="00424449" w:rsidRPr="003E6234" w:rsidTr="00424449">
        <w:tc>
          <w:tcPr>
            <w:tcW w:w="0" w:type="auto"/>
            <w:vMerge/>
            <w:tcBorders>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A42AA3" w:rsidRDefault="00424449" w:rsidP="002A4B9A">
            <w:pPr>
              <w:spacing w:before="120" w:after="120"/>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3E2FA6" w:rsidRDefault="00424449" w:rsidP="002A4B9A">
            <w:pPr>
              <w:spacing w:before="120" w:after="120" w:line="276" w:lineRule="auto"/>
              <w:contextualSpacing/>
              <w:jc w:val="center"/>
              <w:rPr>
                <w:rFonts w:cstheme="minorHAnsi"/>
                <w:i/>
                <w:sz w:val="20"/>
                <w:szCs w:val="20"/>
              </w:rPr>
            </w:pPr>
            <w:r w:rsidRPr="003E2FA6">
              <w:rPr>
                <w:rFonts w:cstheme="minorHAnsi"/>
                <w:i/>
                <w:sz w:val="20"/>
                <w:szCs w:val="20"/>
              </w:rPr>
              <w:t>Liczba nauczycieli objętych wsparciem w zakresie TIK w ramach programu</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pStyle w:val="NormalnyWeb"/>
              <w:spacing w:before="120" w:beforeAutospacing="0" w:after="120" w:afterAutospacing="0"/>
              <w:contextualSpacing/>
              <w:jc w:val="center"/>
              <w:rPr>
                <w:rFonts w:asciiTheme="minorHAnsi" w:hAnsiTheme="minorHAnsi" w:cs="Arial"/>
                <w:sz w:val="20"/>
                <w:szCs w:val="20"/>
              </w:rPr>
            </w:pPr>
            <w:r w:rsidRPr="003E6234">
              <w:rPr>
                <w:rFonts w:asciiTheme="minorHAnsi" w:hAnsiTheme="minorHAnsi" w:cs="Arial"/>
                <w:sz w:val="20"/>
                <w:szCs w:val="20"/>
              </w:rPr>
              <w:t>Brak uwag</w:t>
            </w:r>
          </w:p>
        </w:tc>
      </w:tr>
      <w:tr w:rsidR="00424449" w:rsidRPr="003E6234" w:rsidTr="00424449">
        <w:tc>
          <w:tcPr>
            <w:tcW w:w="93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3E6234" w:rsidRDefault="00424449" w:rsidP="002A4B9A">
            <w:pPr>
              <w:spacing w:before="120" w:after="120" w:line="276" w:lineRule="auto"/>
              <w:contextualSpacing/>
              <w:jc w:val="center"/>
              <w:rPr>
                <w:rFonts w:eastAsia="Calibri" w:cs="Times New Roman"/>
                <w:b/>
                <w:sz w:val="20"/>
                <w:szCs w:val="20"/>
              </w:rPr>
            </w:pPr>
            <w:r w:rsidRPr="003E6234">
              <w:rPr>
                <w:b/>
                <w:sz w:val="20"/>
                <w:szCs w:val="20"/>
              </w:rPr>
              <w:t>10.3</w:t>
            </w: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osób w wieku 25-64 lata o niskich kwalifikacjach, które uczestniczyły w edukacji pozaformalnej w programie</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pStyle w:val="NormalnyWeb"/>
              <w:spacing w:before="120" w:beforeAutospacing="0" w:after="120" w:afterAutospacing="0"/>
              <w:contextualSpacing/>
              <w:jc w:val="center"/>
              <w:rPr>
                <w:rFonts w:eastAsia="Calibri"/>
                <w:sz w:val="20"/>
                <w:szCs w:val="20"/>
              </w:rPr>
            </w:pPr>
            <w:r w:rsidRPr="003E6234">
              <w:rPr>
                <w:rFonts w:asciiTheme="minorHAnsi" w:hAnsiTheme="minorHAnsi" w:cs="Arial"/>
                <w:sz w:val="20"/>
                <w:szCs w:val="20"/>
              </w:rPr>
              <w:t>Brak uwag</w:t>
            </w:r>
          </w:p>
        </w:tc>
      </w:tr>
      <w:tr w:rsidR="00424449" w:rsidRPr="003E6234" w:rsidTr="00424449">
        <w:tc>
          <w:tcPr>
            <w:tcW w:w="934" w:type="dxa"/>
            <w:vMerge w:val="restar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hideMark/>
          </w:tcPr>
          <w:p w:rsidR="00424449" w:rsidRPr="003E6234" w:rsidRDefault="00424449" w:rsidP="002A4B9A">
            <w:pPr>
              <w:spacing w:before="120" w:after="120" w:line="276" w:lineRule="auto"/>
              <w:contextualSpacing/>
              <w:jc w:val="center"/>
              <w:rPr>
                <w:rFonts w:eastAsia="Calibri" w:cs="Times New Roman"/>
                <w:b/>
                <w:sz w:val="20"/>
                <w:szCs w:val="20"/>
              </w:rPr>
            </w:pPr>
            <w:r w:rsidRPr="003E6234">
              <w:rPr>
                <w:b/>
                <w:sz w:val="20"/>
                <w:szCs w:val="20"/>
              </w:rPr>
              <w:t>10.3 BIS</w:t>
            </w: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nauczycieli kształcenia zawodowego objętych wsparciem w programie</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120" w:after="120" w:line="276" w:lineRule="auto"/>
              <w:contextualSpacing/>
              <w:jc w:val="center"/>
              <w:rPr>
                <w:rFonts w:eastAsia="Calibri" w:cs="Times New Roman"/>
                <w:sz w:val="20"/>
                <w:szCs w:val="20"/>
              </w:rPr>
            </w:pPr>
            <w:r w:rsidRPr="003E6234">
              <w:rPr>
                <w:rFonts w:cs="Arial"/>
                <w:sz w:val="20"/>
                <w:szCs w:val="20"/>
              </w:rPr>
              <w:t>Brak uwag</w:t>
            </w:r>
          </w:p>
        </w:tc>
      </w:tr>
      <w:tr w:rsidR="00424449" w:rsidRPr="003E6234" w:rsidTr="00424449">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120" w:after="120" w:line="276" w:lineRule="auto"/>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 xml:space="preserve">Liczba szkół i placówek kształcenia zawodowego doposażonych w sprzęt i materiały dydaktyczne </w:t>
            </w:r>
            <w:r w:rsidRPr="00A42AA3">
              <w:rPr>
                <w:rFonts w:cs="Arial"/>
                <w:i/>
                <w:sz w:val="20"/>
                <w:szCs w:val="20"/>
              </w:rPr>
              <w:lastRenderedPageBreak/>
              <w:t>niezbędne do realizacji kształcenia zawodowego</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120" w:after="120" w:line="276" w:lineRule="auto"/>
              <w:contextualSpacing/>
              <w:jc w:val="center"/>
              <w:rPr>
                <w:rFonts w:eastAsia="Calibri" w:cs="Times New Roman"/>
                <w:sz w:val="20"/>
                <w:szCs w:val="20"/>
              </w:rPr>
            </w:pPr>
            <w:r w:rsidRPr="003E6234">
              <w:rPr>
                <w:rFonts w:cs="Arial"/>
                <w:sz w:val="20"/>
                <w:szCs w:val="20"/>
              </w:rPr>
              <w:lastRenderedPageBreak/>
              <w:t>Brak uwag</w:t>
            </w:r>
          </w:p>
        </w:tc>
      </w:tr>
      <w:tr w:rsidR="00424449" w:rsidRPr="003E6234" w:rsidTr="00424449">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120" w:after="120" w:line="276" w:lineRule="auto"/>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uczniów szkół i placówek kształcenia zawodowego uczestniczących w stażach i praktykach u pracodawcy</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120" w:after="120" w:line="276" w:lineRule="auto"/>
              <w:contextualSpacing/>
              <w:jc w:val="center"/>
              <w:rPr>
                <w:rFonts w:eastAsia="Calibri" w:cs="Times New Roman"/>
                <w:sz w:val="20"/>
                <w:szCs w:val="20"/>
              </w:rPr>
            </w:pPr>
            <w:r w:rsidRPr="003E6234">
              <w:rPr>
                <w:rFonts w:cs="Arial"/>
                <w:sz w:val="20"/>
                <w:szCs w:val="20"/>
              </w:rPr>
              <w:t>Brak uwag</w:t>
            </w:r>
          </w:p>
        </w:tc>
      </w:tr>
      <w:tr w:rsidR="00424449" w:rsidRPr="003E6234" w:rsidTr="00424449">
        <w:tc>
          <w:tcPr>
            <w:tcW w:w="0" w:type="auto"/>
            <w:vMerge/>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hideMark/>
          </w:tcPr>
          <w:p w:rsidR="00424449" w:rsidRPr="003E6234" w:rsidRDefault="00424449" w:rsidP="002A4B9A">
            <w:pPr>
              <w:spacing w:before="120" w:after="120" w:line="276" w:lineRule="auto"/>
              <w:jc w:val="center"/>
              <w:rPr>
                <w:rFonts w:eastAsia="Calibri" w:cs="Times New Roman"/>
                <w:b/>
                <w:sz w:val="20"/>
                <w:szCs w:val="20"/>
              </w:rPr>
            </w:pPr>
          </w:p>
        </w:tc>
        <w:tc>
          <w:tcPr>
            <w:tcW w:w="475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2A4B9A">
            <w:pPr>
              <w:spacing w:before="120" w:after="120" w:line="276" w:lineRule="auto"/>
              <w:contextualSpacing/>
              <w:jc w:val="center"/>
              <w:rPr>
                <w:rFonts w:cs="Arial"/>
                <w:i/>
                <w:sz w:val="20"/>
                <w:szCs w:val="20"/>
              </w:rPr>
            </w:pPr>
            <w:r w:rsidRPr="00A42AA3">
              <w:rPr>
                <w:rFonts w:cs="Arial"/>
                <w:i/>
                <w:sz w:val="20"/>
                <w:szCs w:val="20"/>
              </w:rPr>
              <w:t>Liczba szkół i placówek objętych wsparciem w zakresie realizacji zadań w obszarze doradztwa edukacyjno-zawodowego</w:t>
            </w:r>
          </w:p>
        </w:tc>
        <w:tc>
          <w:tcPr>
            <w:tcW w:w="359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2A4B9A">
            <w:pPr>
              <w:spacing w:before="120" w:after="120" w:line="276" w:lineRule="auto"/>
              <w:contextualSpacing/>
              <w:jc w:val="center"/>
              <w:rPr>
                <w:rFonts w:eastAsia="Calibri" w:cs="Times New Roman"/>
                <w:sz w:val="20"/>
                <w:szCs w:val="20"/>
              </w:rPr>
            </w:pPr>
            <w:r w:rsidRPr="003E6234">
              <w:rPr>
                <w:rFonts w:cs="Arial"/>
                <w:sz w:val="20"/>
                <w:szCs w:val="20"/>
              </w:rPr>
              <w:t>Brak uwag</w:t>
            </w:r>
          </w:p>
        </w:tc>
      </w:tr>
    </w:tbl>
    <w:p w:rsidR="00424449" w:rsidRPr="003E6234" w:rsidRDefault="00424449" w:rsidP="00BC2878">
      <w:pPr>
        <w:pStyle w:val="rdo"/>
        <w:rPr>
          <w:rFonts w:asciiTheme="minorHAnsi" w:eastAsia="Calibri" w:hAnsiTheme="minorHAnsi"/>
        </w:rPr>
      </w:pPr>
      <w:r w:rsidRPr="003E6234">
        <w:rPr>
          <w:rFonts w:asciiTheme="minorHAnsi" w:hAnsiTheme="minorHAnsi"/>
        </w:rPr>
        <w:t>Źródło: Opracowanie własne</w:t>
      </w:r>
    </w:p>
    <w:p w:rsidR="00424449" w:rsidRPr="003E6234" w:rsidRDefault="00424449" w:rsidP="00BC2878">
      <w:pPr>
        <w:pStyle w:val="Nagwek4"/>
        <w:rPr>
          <w:rFonts w:asciiTheme="minorHAnsi" w:hAnsiTheme="minorHAnsi"/>
        </w:rPr>
      </w:pPr>
      <w:r w:rsidRPr="003E6234">
        <w:rPr>
          <w:rFonts w:asciiTheme="minorHAnsi" w:hAnsiTheme="minorHAnsi"/>
        </w:rPr>
        <w:t>Wskaźniki wybrane do ram wykonania</w:t>
      </w:r>
    </w:p>
    <w:p w:rsidR="00424449" w:rsidRPr="003E6234" w:rsidRDefault="00424449" w:rsidP="00BC2878">
      <w:r w:rsidRPr="003E6234">
        <w:t xml:space="preserve">W Projekcie RPO WP 2014-2020 zaproponowano adekwatne wskaźniki do ram wykonania osi priorytetowej. </w:t>
      </w:r>
    </w:p>
    <w:p w:rsidR="00424449" w:rsidRPr="003E6234" w:rsidRDefault="00424449" w:rsidP="00BC2878">
      <w:pPr>
        <w:pStyle w:val="NormalnyWeb"/>
        <w:keepNext/>
        <w:jc w:val="center"/>
        <w:rPr>
          <w:rFonts w:asciiTheme="minorHAnsi" w:eastAsia="Calibri" w:hAnsiTheme="minorHAnsi"/>
          <w:b/>
          <w:bCs/>
          <w:color w:val="366092" w:themeColor="accent1"/>
          <w:sz w:val="18"/>
          <w:szCs w:val="18"/>
        </w:rPr>
      </w:pPr>
      <w:r w:rsidRPr="003E6234">
        <w:rPr>
          <w:rFonts w:asciiTheme="minorHAnsi" w:hAnsiTheme="minorHAnsi"/>
          <w:b/>
          <w:bCs/>
          <w:color w:val="366092" w:themeColor="accent1"/>
          <w:sz w:val="18"/>
          <w:szCs w:val="18"/>
        </w:rPr>
        <w:t xml:space="preserve">Tabela </w:t>
      </w:r>
      <w:r w:rsidR="001B04AC" w:rsidRPr="00A42AA3">
        <w:rPr>
          <w:rFonts w:asciiTheme="minorHAnsi" w:hAnsiTheme="minorHAnsi"/>
          <w:b/>
          <w:bCs/>
          <w:color w:val="366092" w:themeColor="accent1"/>
          <w:sz w:val="18"/>
          <w:szCs w:val="18"/>
        </w:rPr>
        <w:fldChar w:fldCharType="begin"/>
      </w:r>
      <w:r w:rsidRPr="003E6234">
        <w:rPr>
          <w:rFonts w:asciiTheme="minorHAnsi" w:hAnsiTheme="minorHAnsi"/>
          <w:b/>
          <w:bCs/>
          <w:color w:val="366092" w:themeColor="accent1"/>
          <w:sz w:val="18"/>
          <w:szCs w:val="18"/>
        </w:rPr>
        <w:instrText xml:space="preserve"> SEQ Tabela \* ARABIC </w:instrText>
      </w:r>
      <w:r w:rsidR="001B04AC" w:rsidRPr="00A42AA3">
        <w:rPr>
          <w:rFonts w:asciiTheme="minorHAnsi" w:hAnsiTheme="minorHAnsi"/>
          <w:b/>
          <w:bCs/>
          <w:color w:val="366092" w:themeColor="accent1"/>
          <w:sz w:val="18"/>
          <w:szCs w:val="18"/>
        </w:rPr>
        <w:fldChar w:fldCharType="separate"/>
      </w:r>
      <w:r w:rsidR="00832320">
        <w:rPr>
          <w:rFonts w:asciiTheme="minorHAnsi" w:hAnsiTheme="minorHAnsi"/>
          <w:b/>
          <w:bCs/>
          <w:noProof/>
          <w:color w:val="366092" w:themeColor="accent1"/>
          <w:sz w:val="18"/>
          <w:szCs w:val="18"/>
        </w:rPr>
        <w:t>33</w:t>
      </w:r>
      <w:r w:rsidR="001B04AC" w:rsidRPr="00A42AA3">
        <w:rPr>
          <w:rFonts w:asciiTheme="minorHAnsi" w:hAnsiTheme="minorHAnsi"/>
          <w:b/>
          <w:bCs/>
          <w:color w:val="366092" w:themeColor="accent1"/>
          <w:sz w:val="18"/>
          <w:szCs w:val="18"/>
        </w:rPr>
        <w:fldChar w:fldCharType="end"/>
      </w:r>
      <w:r w:rsidRPr="003E6234">
        <w:rPr>
          <w:rFonts w:asciiTheme="minorHAnsi" w:hAnsiTheme="minorHAnsi"/>
          <w:b/>
          <w:bCs/>
          <w:color w:val="366092" w:themeColor="accent1"/>
          <w:sz w:val="18"/>
          <w:szCs w:val="18"/>
        </w:rPr>
        <w:t xml:space="preserve">. Oś priorytetowa IX – ocena wskaźników </w:t>
      </w:r>
      <w:r>
        <w:rPr>
          <w:rFonts w:asciiTheme="minorHAnsi" w:hAnsiTheme="minorHAnsi"/>
          <w:b/>
          <w:bCs/>
          <w:color w:val="366092" w:themeColor="accent1"/>
          <w:sz w:val="18"/>
          <w:szCs w:val="18"/>
        </w:rPr>
        <w:t>wybranych do ram wykonania</w:t>
      </w:r>
    </w:p>
    <w:tbl>
      <w:tblPr>
        <w:tblStyle w:val="Tabela-Siatka"/>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5516"/>
        <w:gridCol w:w="3770"/>
      </w:tblGrid>
      <w:tr w:rsidR="00424449" w:rsidRPr="003E6234" w:rsidTr="00424449">
        <w:tc>
          <w:tcPr>
            <w:tcW w:w="55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120" w:after="120" w:line="276" w:lineRule="auto"/>
              <w:jc w:val="center"/>
              <w:rPr>
                <w:rFonts w:eastAsia="Calibri" w:cs="Times New Roman"/>
                <w:b/>
                <w:color w:val="FFFFFF" w:themeColor="background1"/>
                <w:sz w:val="20"/>
              </w:rPr>
            </w:pPr>
            <w:r w:rsidRPr="003E6234">
              <w:rPr>
                <w:b/>
                <w:color w:val="FFFFFF" w:themeColor="background1"/>
                <w:sz w:val="20"/>
              </w:rPr>
              <w:t>wskaźnik rezultatu</w:t>
            </w:r>
          </w:p>
        </w:tc>
        <w:tc>
          <w:tcPr>
            <w:tcW w:w="377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366092" w:themeFill="accent1"/>
            <w:vAlign w:val="center"/>
            <w:hideMark/>
          </w:tcPr>
          <w:p w:rsidR="00424449" w:rsidRPr="003E6234" w:rsidRDefault="00424449" w:rsidP="00DF7D23">
            <w:pPr>
              <w:spacing w:before="120" w:after="120" w:line="276" w:lineRule="auto"/>
              <w:jc w:val="center"/>
              <w:rPr>
                <w:rFonts w:eastAsia="Calibri" w:cs="Times New Roman"/>
                <w:b/>
                <w:color w:val="FFFFFF" w:themeColor="background1"/>
                <w:sz w:val="20"/>
              </w:rPr>
            </w:pPr>
            <w:r w:rsidRPr="003E6234">
              <w:rPr>
                <w:b/>
                <w:color w:val="FFFFFF" w:themeColor="background1"/>
                <w:sz w:val="20"/>
              </w:rPr>
              <w:t>ocena doboru wskaźnika</w:t>
            </w:r>
          </w:p>
        </w:tc>
      </w:tr>
      <w:tr w:rsidR="00424449" w:rsidRPr="003E6234" w:rsidTr="00424449">
        <w:tc>
          <w:tcPr>
            <w:tcW w:w="55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424449">
            <w:pPr>
              <w:spacing w:before="120" w:after="120"/>
              <w:ind w:left="360"/>
              <w:jc w:val="center"/>
              <w:rPr>
                <w:rFonts w:cs="Arial"/>
                <w:i/>
                <w:sz w:val="20"/>
                <w:szCs w:val="20"/>
              </w:rPr>
            </w:pPr>
            <w:r w:rsidRPr="00A42AA3">
              <w:rPr>
                <w:rFonts w:cs="Arial"/>
                <w:i/>
                <w:sz w:val="20"/>
                <w:szCs w:val="20"/>
              </w:rPr>
              <w:t>Liczba szkół i placówek systemu oświaty wyposażonych w ramach programu w sprzęt TIK do prowadzenia zajęć edukacyjnych</w:t>
            </w:r>
          </w:p>
        </w:tc>
        <w:tc>
          <w:tcPr>
            <w:tcW w:w="377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424449">
            <w:pPr>
              <w:spacing w:before="120" w:after="120" w:line="276" w:lineRule="auto"/>
              <w:ind w:left="360"/>
              <w:contextualSpacing/>
              <w:jc w:val="center"/>
              <w:rPr>
                <w:rFonts w:eastAsia="Calibri" w:cs="Times New Roman"/>
                <w:sz w:val="20"/>
              </w:rPr>
            </w:pPr>
            <w:r w:rsidRPr="003E6234">
              <w:rPr>
                <w:rFonts w:cs="Arial"/>
                <w:sz w:val="20"/>
                <w:szCs w:val="20"/>
              </w:rPr>
              <w:t>Brak uwag</w:t>
            </w:r>
          </w:p>
        </w:tc>
      </w:tr>
      <w:tr w:rsidR="00424449" w:rsidRPr="003E6234" w:rsidTr="00424449">
        <w:tc>
          <w:tcPr>
            <w:tcW w:w="55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424449">
            <w:pPr>
              <w:spacing w:before="120" w:after="120" w:line="276" w:lineRule="auto"/>
              <w:ind w:left="360"/>
              <w:contextualSpacing/>
              <w:jc w:val="center"/>
              <w:rPr>
                <w:rFonts w:cs="Arial"/>
                <w:i/>
                <w:sz w:val="20"/>
                <w:szCs w:val="20"/>
              </w:rPr>
            </w:pPr>
            <w:r w:rsidRPr="00A42AA3">
              <w:rPr>
                <w:rFonts w:cs="Arial"/>
                <w:i/>
                <w:sz w:val="20"/>
                <w:szCs w:val="20"/>
              </w:rPr>
              <w:t>Liczba uczniów szkół i placówek kształcenia zawodowego uczestniczących w stażach i praktykach u pracodawcy</w:t>
            </w:r>
          </w:p>
        </w:tc>
        <w:tc>
          <w:tcPr>
            <w:tcW w:w="377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424449">
            <w:pPr>
              <w:spacing w:before="120" w:after="120" w:line="276" w:lineRule="auto"/>
              <w:ind w:left="360"/>
              <w:contextualSpacing/>
              <w:jc w:val="center"/>
              <w:rPr>
                <w:rFonts w:eastAsia="Calibri" w:cs="Times New Roman"/>
                <w:sz w:val="20"/>
              </w:rPr>
            </w:pPr>
            <w:r w:rsidRPr="003E6234">
              <w:rPr>
                <w:rFonts w:cs="Arial"/>
                <w:sz w:val="20"/>
                <w:szCs w:val="20"/>
              </w:rPr>
              <w:t>Brak uwag</w:t>
            </w:r>
          </w:p>
        </w:tc>
      </w:tr>
      <w:tr w:rsidR="00424449" w:rsidRPr="003E6234" w:rsidTr="00424449">
        <w:tc>
          <w:tcPr>
            <w:tcW w:w="551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6E6E6" w:themeFill="background1" w:themeFillShade="E6"/>
            <w:vAlign w:val="center"/>
          </w:tcPr>
          <w:p w:rsidR="00424449" w:rsidRPr="00A42AA3" w:rsidRDefault="00424449" w:rsidP="00424449">
            <w:pPr>
              <w:spacing w:before="120" w:after="120" w:line="276" w:lineRule="auto"/>
              <w:ind w:left="360"/>
              <w:contextualSpacing/>
              <w:jc w:val="center"/>
              <w:rPr>
                <w:rFonts w:cs="Arial"/>
                <w:i/>
                <w:sz w:val="20"/>
                <w:szCs w:val="20"/>
              </w:rPr>
            </w:pPr>
            <w:r w:rsidRPr="00A42AA3">
              <w:rPr>
                <w:rFonts w:cs="Arial"/>
                <w:i/>
                <w:sz w:val="20"/>
                <w:szCs w:val="20"/>
              </w:rPr>
              <w:t>Całkowita kwota wydatków kwalifikowalnych</w:t>
            </w:r>
          </w:p>
        </w:tc>
        <w:tc>
          <w:tcPr>
            <w:tcW w:w="377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rsidR="00424449" w:rsidRPr="003E6234" w:rsidRDefault="00424449" w:rsidP="00424449">
            <w:pPr>
              <w:spacing w:before="120" w:after="120" w:line="276" w:lineRule="auto"/>
              <w:ind w:left="360"/>
              <w:contextualSpacing/>
              <w:jc w:val="center"/>
              <w:rPr>
                <w:rFonts w:eastAsia="Calibri" w:cs="Times New Roman"/>
                <w:sz w:val="20"/>
              </w:rPr>
            </w:pPr>
            <w:r w:rsidRPr="003E6234">
              <w:rPr>
                <w:rFonts w:cs="Arial"/>
                <w:sz w:val="20"/>
                <w:szCs w:val="20"/>
              </w:rPr>
              <w:t>Brak uwag</w:t>
            </w:r>
          </w:p>
        </w:tc>
      </w:tr>
    </w:tbl>
    <w:p w:rsidR="00424449" w:rsidRPr="003E6234" w:rsidRDefault="00424449" w:rsidP="00BC2878">
      <w:pPr>
        <w:pStyle w:val="rdo"/>
        <w:rPr>
          <w:rFonts w:asciiTheme="minorHAnsi" w:hAnsiTheme="minorHAnsi"/>
        </w:rPr>
      </w:pPr>
      <w:r w:rsidRPr="003E6234">
        <w:rPr>
          <w:rFonts w:asciiTheme="minorHAnsi" w:hAnsiTheme="minorHAnsi"/>
        </w:rPr>
        <w:t>Źródło: Opracowanie własne</w:t>
      </w:r>
    </w:p>
    <w:p w:rsidR="00424449" w:rsidRPr="003E6234" w:rsidRDefault="00424449" w:rsidP="00BC2878">
      <w:pPr>
        <w:pStyle w:val="rdo"/>
        <w:rPr>
          <w:rFonts w:asciiTheme="minorHAnsi" w:eastAsia="Calibri" w:hAnsiTheme="minorHAnsi"/>
        </w:rPr>
      </w:pPr>
    </w:p>
    <w:p w:rsidR="00424449" w:rsidRPr="003E6234" w:rsidRDefault="00424449" w:rsidP="00BC2878">
      <w:pPr>
        <w:pStyle w:val="Nagwek3"/>
        <w:rPr>
          <w:rFonts w:asciiTheme="minorHAnsi" w:hAnsiTheme="minorHAnsi"/>
          <w:color w:val="366092"/>
        </w:rPr>
      </w:pPr>
      <w:r w:rsidRPr="003E6234">
        <w:rPr>
          <w:rFonts w:asciiTheme="minorHAnsi" w:hAnsiTheme="minorHAnsi"/>
        </w:rPr>
        <w:t>Wkład w realizację celów dokumentów strategicznych i celów polityk horyzontalnych</w:t>
      </w:r>
    </w:p>
    <w:p w:rsidR="00424449" w:rsidRPr="003E6234" w:rsidRDefault="00424449" w:rsidP="00BC2878">
      <w:pPr>
        <w:pStyle w:val="Nagwek4"/>
        <w:rPr>
          <w:rFonts w:asciiTheme="minorHAnsi" w:hAnsiTheme="minorHAnsi"/>
        </w:rPr>
      </w:pPr>
      <w:r w:rsidRPr="003E6234">
        <w:rPr>
          <w:rFonts w:asciiTheme="minorHAnsi" w:hAnsiTheme="minorHAnsi"/>
        </w:rPr>
        <w:t>Cele strategiczne na poziomie europejskim i polityki horyzontalne</w:t>
      </w:r>
    </w:p>
    <w:p w:rsidR="00424449" w:rsidRPr="003E6234" w:rsidRDefault="00424449" w:rsidP="00BC2878">
      <w:r w:rsidRPr="003E6234">
        <w:t xml:space="preserve">Pakiet interwencji w ramach osi IX jest spójny z kierunkami działań wyznaczonymi przez zagraniczne dokumenty strategiczne. Mieszczą się one w priorytecie </w:t>
      </w:r>
      <w:r w:rsidRPr="003E6234">
        <w:rPr>
          <w:i/>
          <w:iCs/>
        </w:rPr>
        <w:t xml:space="preserve">Zwiększenie współczynnika aktywności zawodowej poprzez poprawę polityki w dziedzinie zatrudnieni. </w:t>
      </w:r>
      <w:r w:rsidRPr="003E6234">
        <w:t xml:space="preserve">Projektem przewodnim odpowiadającym za CT 10 jest </w:t>
      </w:r>
      <w:r w:rsidRPr="003E6234">
        <w:rPr>
          <w:i/>
          <w:iCs/>
        </w:rPr>
        <w:t>Młodzież w drodze</w:t>
      </w:r>
      <w:r w:rsidRPr="003E6234">
        <w:t xml:space="preserve"> - jedna z siedmiu głównych inicjatyw UE przewidzianych w strategii Europa 2020, mająca na celu poprawę wyników systemów kształcenia na każdym poziomie oraz ułatwianie młodzieży wejścia na rynek pracy, a także po części </w:t>
      </w:r>
      <w:r w:rsidRPr="003E6234">
        <w:rPr>
          <w:i/>
          <w:iCs/>
        </w:rPr>
        <w:t>Program na rzecz nowych umiejętności i zatrudnienia</w:t>
      </w:r>
      <w:r w:rsidRPr="003E6234">
        <w:t xml:space="preserve"> – w  sferze rozwoju kwalifikacji przez całe życie oraz lepszego dopasowania popytu do podaży na rynku pracy. Wszystkie (pomijając szkolnictwo wyższe) z</w:t>
      </w:r>
      <w:r w:rsidR="002F7C58">
        <w:t> </w:t>
      </w:r>
      <w:r w:rsidRPr="003E6234">
        <w:t xml:space="preserve"> sugerowanych przez Komisję Europejską krajom członkowskim kierunków działań służących realizacji programu przewodniego </w:t>
      </w:r>
      <w:r w:rsidRPr="003E6234">
        <w:rPr>
          <w:i/>
          <w:iCs/>
        </w:rPr>
        <w:t xml:space="preserve">Młodzież w drodze </w:t>
      </w:r>
      <w:r w:rsidRPr="003E6234">
        <w:t xml:space="preserve">zostały uwzględnione w pakiecie interwencji przewidzianym w ramach osi priorytetowej IX. Doskonalenie programów kształcenia na wszystkich etapach edukacji w stronę rozwijania kompetencji kluczowych oraz poprawa jakości warunków kształcenia przyczyni się do poprawy wyników edukacyjnych i zmniejszenia wskaźnika przerywania nauki. Służyć temu będą także działania na rzecz lepszego dostępu do wysokiej jakości stabilnych usług edukacyjnych, zwłaszcza na poziomie przedszkolnym oraz poprawa kompetencji kadr </w:t>
      </w:r>
      <w:r w:rsidRPr="003E6234">
        <w:lastRenderedPageBreak/>
        <w:t>pedagogicznych. Działania na rzecz podniesienia jakości kształcenia pozaformalnego i nieformalnego wraz ze wszystkimi założonymi w ramach rezultatu drugiego pakietu interwencji pozwolą usprawnić proces wchodzenia na rynek pracy nie tylko ludzi młodych, ale i tych potrzebujących przekwalifikowania.</w:t>
      </w:r>
    </w:p>
    <w:p w:rsidR="00424449" w:rsidRPr="003E6234" w:rsidRDefault="00424449" w:rsidP="00BC2878">
      <w:r w:rsidRPr="003E6234">
        <w:t>W związku z tym stwierdzono, że przy pomocy zaplanowanego pakietu interwencji możliwe będzie, po uwzględnieniu przedstawionych uwag, dążenie do osiągnięcia celu wyznaczonego na poziome Unii Europejskiej przez Strategię Europa 2020 dotyczącego ograniczenia wskaźnika przerywania nauki (cel dla Polski: 4,5%).</w:t>
      </w:r>
    </w:p>
    <w:p w:rsidR="00424449" w:rsidRPr="003E6234" w:rsidRDefault="00424449" w:rsidP="00BC2878">
      <w:pPr>
        <w:pStyle w:val="Nagwek4"/>
        <w:rPr>
          <w:rFonts w:asciiTheme="minorHAnsi" w:hAnsiTheme="minorHAnsi"/>
        </w:rPr>
      </w:pPr>
      <w:r w:rsidRPr="003E6234">
        <w:rPr>
          <w:rFonts w:asciiTheme="minorHAnsi" w:hAnsiTheme="minorHAnsi"/>
        </w:rPr>
        <w:t>Cele strategiczne na poziomie krajowym</w:t>
      </w:r>
    </w:p>
    <w:p w:rsidR="00424449" w:rsidRPr="003E6234" w:rsidRDefault="00424449" w:rsidP="00BC2878">
      <w:r w:rsidRPr="003E6234">
        <w:t>Pakiet interwencji w ramach osi IX jest spójny z kierunkami działań wyznaczonymi przez krajowe dokumenty strategiczne.</w:t>
      </w:r>
    </w:p>
    <w:p w:rsidR="00424449" w:rsidRPr="003E6234" w:rsidRDefault="00424449" w:rsidP="00BC2878">
      <w:pPr>
        <w:rPr>
          <w:rFonts w:eastAsia="Calibri" w:cs="Times New Roman"/>
        </w:rPr>
      </w:pPr>
      <w:r w:rsidRPr="003E6234">
        <w:t xml:space="preserve">Propozycja lepszego dostosowania kompetencji mieszkańców regionu do potrzeb rynku pracy poprzez podwyższenie jakości i dostępności edukacji przedstawiona w projekcie RPO WP 2014-2020  jest spójna z rekomendacjami </w:t>
      </w:r>
      <w:r w:rsidRPr="003E6234">
        <w:rPr>
          <w:bCs/>
        </w:rPr>
        <w:t>Strategii Rozwoju Kraju do roku 2020</w:t>
      </w:r>
      <w:r w:rsidRPr="003E6234">
        <w:t xml:space="preserve"> dotyczącymi przede wszystkim inwestycji w kompetencje miękkie, umiejętności ścisłe</w:t>
      </w:r>
      <w:r w:rsidRPr="003E6234">
        <w:rPr>
          <w:vertAlign w:val="superscript"/>
        </w:rPr>
        <w:footnoteReference w:id="118"/>
      </w:r>
      <w:r w:rsidRPr="003E6234">
        <w:t>, umiejętności praktyczne, w tym zawodowe młodych ludzi, a także wprowadzeniu systemu doradztwa zawodowego. Strategia podkreśla także zasadnicze znaczenie zwiększenia uczestnictwa w uczeniu się przez całe życie dla poprawy jakości kapitału ludzkiego w kraju.</w:t>
      </w:r>
      <w:r w:rsidRPr="003E6234">
        <w:rPr>
          <w:vertAlign w:val="superscript"/>
        </w:rPr>
        <w:footnoteReference w:id="119"/>
      </w:r>
    </w:p>
    <w:p w:rsidR="00424449" w:rsidRPr="003E6234" w:rsidRDefault="00424449" w:rsidP="00BC2878">
      <w:r w:rsidRPr="003E6234">
        <w:t xml:space="preserve">Przedstawiony w RPO WP 2014-2020 pakiet interwencji, po uwzględnieniu powyższych uwag, ma dużą szansę przyczynić się do osiągnięcia przez kraj przyjętych w Umowie Partnerstwa wartości dla wskaźników: wzrostu odsetka </w:t>
      </w:r>
      <w:r w:rsidRPr="003E6234">
        <w:rPr>
          <w:iCs/>
        </w:rPr>
        <w:t>dzieci w wieku 3-4 lat objętych edukacją przedszkolną oraz odsetka osób dorosłych w wieku 25-64 lat uczestniczących w kształceniu i szkoleniu.</w:t>
      </w:r>
    </w:p>
    <w:p w:rsidR="00424449" w:rsidRPr="003E6234" w:rsidRDefault="00424449" w:rsidP="00BC2878">
      <w:pPr>
        <w:pStyle w:val="Nagwek4"/>
        <w:rPr>
          <w:rFonts w:asciiTheme="minorHAnsi" w:hAnsiTheme="minorHAnsi"/>
        </w:rPr>
      </w:pPr>
      <w:r w:rsidRPr="003E6234">
        <w:rPr>
          <w:rFonts w:asciiTheme="minorHAnsi" w:hAnsiTheme="minorHAnsi"/>
        </w:rPr>
        <w:t>Cele strategiczne województwa podkarpackiego</w:t>
      </w:r>
    </w:p>
    <w:p w:rsidR="00424449" w:rsidRPr="00F34C9E" w:rsidRDefault="00424449" w:rsidP="00BC2878">
      <w:r w:rsidRPr="003E6234">
        <w:t xml:space="preserve">Planowany w projekcie RPO WP 2014-2020 zakres interwencji odpowiada na główne wyzwania zawarte w </w:t>
      </w:r>
      <w:r w:rsidRPr="003E6234">
        <w:rPr>
          <w:i/>
          <w:iCs/>
        </w:rPr>
        <w:t>Strategii Rozwoju Województwa Podkarpackiego 2020</w:t>
      </w:r>
      <w:r w:rsidRPr="003E6234">
        <w:t xml:space="preserve"> dotyczące dostosowania regionalnego systemu edukacji do potrzeb rynku pracy i wyzwań przyszłości. W </w:t>
      </w:r>
      <w:r w:rsidRPr="003E6234">
        <w:rPr>
          <w:i/>
          <w:iCs/>
        </w:rPr>
        <w:t>Strategii</w:t>
      </w:r>
      <w:r w:rsidRPr="003E6234">
        <w:t xml:space="preserve"> postawiono przede wszystkim na upowszechnienie uczenia się osób dorosłych, podniesienie jakości kształcenia i</w:t>
      </w:r>
      <w:r w:rsidR="002F7C58">
        <w:t> </w:t>
      </w:r>
      <w:r w:rsidRPr="003E6234">
        <w:t xml:space="preserve"> doskonalenia zawodowego nauczycieli oraz dostosowanie bazy dydaktycznej i edukacyjnej szkół i</w:t>
      </w:r>
      <w:r w:rsidR="002F7C58">
        <w:t> </w:t>
      </w:r>
      <w:r w:rsidRPr="003E6234">
        <w:t xml:space="preserve"> placówek oświatowych (szczególnie szkół zawodowych), co jest spójne z planowanymi działaniami.</w:t>
      </w:r>
      <w:r w:rsidRPr="00F34C9E">
        <w:t xml:space="preserve"> </w:t>
      </w:r>
    </w:p>
    <w:p w:rsidR="00424449" w:rsidRDefault="00424449">
      <w:pPr>
        <w:jc w:val="left"/>
      </w:pPr>
    </w:p>
    <w:p w:rsidR="002B679A" w:rsidRDefault="00424449" w:rsidP="002B679A">
      <w:pPr>
        <w:pStyle w:val="Nagwek2"/>
      </w:pPr>
      <w:r>
        <w:br w:type="page"/>
      </w:r>
      <w:bookmarkStart w:id="27" w:name="_Toc384914411"/>
      <w:r w:rsidR="002B679A" w:rsidRPr="00181E69">
        <w:lastRenderedPageBreak/>
        <w:t xml:space="preserve">Oś </w:t>
      </w:r>
      <w:r w:rsidR="002B679A" w:rsidRPr="00E21B85">
        <w:t>priorytetowa</w:t>
      </w:r>
      <w:r w:rsidR="002B679A" w:rsidRPr="00181E69">
        <w:t xml:space="preserve"> </w:t>
      </w:r>
      <w:r w:rsidR="002B679A">
        <w:t>X.</w:t>
      </w:r>
      <w:r w:rsidR="002B679A" w:rsidRPr="00181E69">
        <w:t xml:space="preserve"> </w:t>
      </w:r>
      <w:r w:rsidR="002B679A" w:rsidRPr="003D4949">
        <w:rPr>
          <w:i/>
        </w:rPr>
        <w:t>Pomoc techniczna</w:t>
      </w:r>
      <w:bookmarkEnd w:id="27"/>
    </w:p>
    <w:p w:rsidR="00424B49" w:rsidRPr="003E6234" w:rsidRDefault="00424B49" w:rsidP="00424B49">
      <w:pPr>
        <w:pStyle w:val="Nagwek3"/>
        <w:rPr>
          <w:rFonts w:asciiTheme="minorHAnsi" w:hAnsiTheme="minorHAnsi"/>
        </w:rPr>
      </w:pPr>
      <w:r w:rsidRPr="003E6234">
        <w:rPr>
          <w:rFonts w:asciiTheme="minorHAnsi" w:hAnsiTheme="minorHAnsi"/>
        </w:rPr>
        <w:t>Ocena przesłanek interwencji</w:t>
      </w:r>
    </w:p>
    <w:p w:rsidR="002B679A" w:rsidRDefault="00424B49" w:rsidP="002B679A">
      <w:pPr>
        <w:pStyle w:val="Akapitzlist"/>
        <w:tabs>
          <w:tab w:val="left" w:pos="8647"/>
        </w:tabs>
        <w:ind w:left="0"/>
        <w:contextualSpacing w:val="0"/>
      </w:pPr>
      <w:r>
        <w:t>Nie dotyczy.</w:t>
      </w:r>
    </w:p>
    <w:p w:rsidR="002B679A" w:rsidRDefault="002B679A" w:rsidP="002B679A">
      <w:pPr>
        <w:pStyle w:val="Nagwek3"/>
      </w:pPr>
      <w:r>
        <w:t>Ocena logiki interwencji</w:t>
      </w:r>
    </w:p>
    <w:p w:rsidR="002B679A" w:rsidRDefault="002B679A" w:rsidP="002B679A">
      <w:pPr>
        <w:tabs>
          <w:tab w:val="left" w:pos="8647"/>
        </w:tabs>
      </w:pPr>
      <w:r>
        <w:t>W ramach osi X sformułowano cel szczegółowy:</w:t>
      </w:r>
      <w:r w:rsidRPr="00293FB7">
        <w:t xml:space="preserve"> </w:t>
      </w:r>
      <w:r w:rsidRPr="006D1CCD">
        <w:rPr>
          <w:i/>
        </w:rPr>
        <w:t>Umożliwienie sprawnego funkcjonowania systemu realizacji programu oraz zapewnienie ciągłości procesu programowania</w:t>
      </w:r>
      <w:r>
        <w:t>. Zaproponowana konstrukcja jest właściwa i oddaje rolę jaką pełnią środki pomocy technicznej w  programie.</w:t>
      </w:r>
      <w:r w:rsidR="00F6047E">
        <w:t xml:space="preserve"> </w:t>
      </w:r>
      <w:r>
        <w:t xml:space="preserve">Pomimo, że cel składa się z dwóch elementów, to w tym przypadku jest to uzasadnione. Oba pełnią ważną role w procesie wdrażania i zarządzania programem. Oba także wskazują na konkretne obszary interwencji w ramach pomocy technicznej. </w:t>
      </w:r>
    </w:p>
    <w:p w:rsidR="002B679A" w:rsidRDefault="002B679A" w:rsidP="002B679A">
      <w:pPr>
        <w:tabs>
          <w:tab w:val="left" w:pos="8647"/>
        </w:tabs>
      </w:pPr>
      <w:r>
        <w:t>Zakres działań przewidzianych do realizacji celu należy ocenić jako trafny i kompleksowy. Mają one szansę przełożyć się na odpowiednio wysoką sprawność w zarządzaniu i wdrażaniu programu. Kluczowe znaczenie będą miały przyjęte rozwiązania w zakresie organizacji pracy, procedur oraz nadzoru na procesem zarządzania. Wskazane jest wypracowanie i wdrożenie mechanizmów doskonalenia jakości organizacji pracy i zarządzania dużą strukturą administracyjną. Mechanizmy takie powinny zostać opracowane w trakcie prac  nad dokumentami niższego rzędu.</w:t>
      </w:r>
    </w:p>
    <w:p w:rsidR="002B679A" w:rsidRDefault="002B679A" w:rsidP="002B679A">
      <w:pPr>
        <w:tabs>
          <w:tab w:val="left" w:pos="8647"/>
        </w:tabs>
      </w:pPr>
      <w:r>
        <w:t>Analizując dotychczasowe doświadczenia związane z wdrażaniem RPO WP 2007-2013, a także innych programów regionalnych i krajowych w latach 2007-2013, zasadna staje się rekomendacja dotycząca rozwoju tzw. funkcji refleksyjnej.  Oznacza to wzmocnienie i usystematyzowanie działań związanych z</w:t>
      </w:r>
      <w:r w:rsidR="002F7C58">
        <w:t> </w:t>
      </w:r>
      <w:r>
        <w:t xml:space="preserve"> planowaniem strategicznym, monitorowaniem i oceną rezultatów interwencji. W nowej perspektywie finansowej te aspekty prowadzenia polityki publicznej zyskują znacznie większą wagę. Zapewnienie wysokiej jakości procesu planowania, monitorowania i oceny rezultatów, wymaga przeznaczenie na te cele odpowiednich zasobów oraz rozwoju kompetencji z tym związanych.  Dlatego też zasadne jest, aby w dokumentach niższego rzędu zawarta została preferencja dotycząca szkoleń dla personelu IZ, wskazująca, że przede wszystkim realizowane będą te szkolenia, które odpowiadają za jakość planowania strategicznego i prowadzenia polityki publicznej. </w:t>
      </w:r>
    </w:p>
    <w:p w:rsidR="002B679A" w:rsidRDefault="002B679A" w:rsidP="002B679A">
      <w:pPr>
        <w:tabs>
          <w:tab w:val="left" w:pos="8647"/>
        </w:tabs>
      </w:pPr>
      <w:r>
        <w:t>Pozytywnie również należy ocenić działania skierowane do przyszłych beneficjentów RPO WP 2014-2020, szczególnie informacyjne</w:t>
      </w:r>
      <w:r w:rsidRPr="00520E32">
        <w:t xml:space="preserve"> w zakresie </w:t>
      </w:r>
      <w:r>
        <w:t>realizacji projektu od etapu planowania do etapu rozliczania skierowane</w:t>
      </w:r>
      <w:r w:rsidRPr="00520E32">
        <w:t xml:space="preserve"> </w:t>
      </w:r>
      <w:r>
        <w:t>do potencjalnych wnioskodawców. Na poziomie dokumentów niższego rzędu wskazane jest określenie preferencji, zgodnie z którą działaniami informacyjnymi objęci zostaną przede wszystkim projektodawcy realizujący przedsięwzięcia mające kluczowy wpływ na osiągnięcie rezultatów programu.</w:t>
      </w:r>
    </w:p>
    <w:p w:rsidR="002B679A" w:rsidRDefault="002B679A" w:rsidP="002B679A">
      <w:pPr>
        <w:spacing w:after="0" w:line="240" w:lineRule="auto"/>
        <w:jc w:val="left"/>
      </w:pPr>
      <w:r>
        <w:br w:type="page"/>
      </w:r>
    </w:p>
    <w:p w:rsidR="002B679A" w:rsidRDefault="002B679A" w:rsidP="002B679A">
      <w:pPr>
        <w:pStyle w:val="Nagwek3"/>
      </w:pPr>
      <w:r>
        <w:lastRenderedPageBreak/>
        <w:t>Ocena wskaźników</w:t>
      </w:r>
    </w:p>
    <w:p w:rsidR="002B679A" w:rsidRDefault="002B679A" w:rsidP="002B679A">
      <w:pPr>
        <w:pStyle w:val="Nagwek4"/>
        <w:spacing w:before="0" w:after="200"/>
      </w:pPr>
      <w:r>
        <w:t>Wskaźniki rezultatu</w:t>
      </w:r>
    </w:p>
    <w:p w:rsidR="002B679A" w:rsidRDefault="002B679A" w:rsidP="002B679A">
      <w:r>
        <w:t xml:space="preserve">W programie nie wskazano wskaźników rezultatu, co zgodnie z przepisami </w:t>
      </w:r>
      <w:r w:rsidR="002F7C58">
        <w:t>j</w:t>
      </w:r>
      <w:r>
        <w:t xml:space="preserve">est akceptowalne. </w:t>
      </w:r>
    </w:p>
    <w:p w:rsidR="002B679A" w:rsidRDefault="002B679A" w:rsidP="002B679A">
      <w:pPr>
        <w:pStyle w:val="Nagwek4"/>
        <w:spacing w:before="0" w:after="200"/>
      </w:pPr>
      <w:r>
        <w:t xml:space="preserve">Wskaźniki typu output </w:t>
      </w:r>
    </w:p>
    <w:p w:rsidR="002B679A" w:rsidRPr="00C00123" w:rsidRDefault="002B679A" w:rsidP="002B679A">
      <w:r>
        <w:t xml:space="preserve">Wskaźniki typu output w większości przypadków zostały dopasowane do logiki interwencji. </w:t>
      </w:r>
    </w:p>
    <w:p w:rsidR="002B679A" w:rsidRDefault="002B679A" w:rsidP="002B679A">
      <w:pPr>
        <w:pStyle w:val="Legenda"/>
        <w:keepNext/>
        <w:spacing w:before="0" w:after="200" w:line="276" w:lineRule="auto"/>
      </w:pPr>
      <w:r>
        <w:t xml:space="preserve">Tabela </w:t>
      </w:r>
      <w:r w:rsidR="001B04AC">
        <w:fldChar w:fldCharType="begin"/>
      </w:r>
      <w:r w:rsidR="008E1D74">
        <w:instrText xml:space="preserve"> SEQ Tabela \* ARABIC </w:instrText>
      </w:r>
      <w:r w:rsidR="001B04AC">
        <w:fldChar w:fldCharType="separate"/>
      </w:r>
      <w:r w:rsidR="00832320">
        <w:rPr>
          <w:noProof/>
        </w:rPr>
        <w:t>34</w:t>
      </w:r>
      <w:r w:rsidR="001B04AC">
        <w:rPr>
          <w:noProof/>
        </w:rPr>
        <w:fldChar w:fldCharType="end"/>
      </w:r>
      <w:r>
        <w:t>. Oś priorytetowa X – ocena wskaźników typu output</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0A0"/>
      </w:tblPr>
      <w:tblGrid>
        <w:gridCol w:w="5295"/>
        <w:gridCol w:w="3991"/>
      </w:tblGrid>
      <w:tr w:rsidR="002B679A" w:rsidRPr="0068041B" w:rsidTr="002B679A">
        <w:trPr>
          <w:tblHeader/>
        </w:trPr>
        <w:tc>
          <w:tcPr>
            <w:tcW w:w="2851" w:type="pct"/>
            <w:shd w:val="clear" w:color="auto" w:fill="4F81BD"/>
            <w:vAlign w:val="center"/>
          </w:tcPr>
          <w:p w:rsidR="002B679A" w:rsidRPr="00926E4A" w:rsidRDefault="002B679A" w:rsidP="002B679A">
            <w:pPr>
              <w:spacing w:before="120" w:after="120"/>
              <w:jc w:val="center"/>
              <w:rPr>
                <w:rFonts w:cs="Calibri"/>
                <w:b/>
                <w:color w:val="FFFFFF"/>
                <w:sz w:val="20"/>
                <w:szCs w:val="20"/>
              </w:rPr>
            </w:pPr>
            <w:r w:rsidRPr="00926E4A">
              <w:rPr>
                <w:rFonts w:cs="Calibri"/>
                <w:b/>
                <w:color w:val="FFFFFF"/>
                <w:sz w:val="20"/>
                <w:szCs w:val="20"/>
              </w:rPr>
              <w:t>nazwa wskaźnika</w:t>
            </w:r>
          </w:p>
        </w:tc>
        <w:tc>
          <w:tcPr>
            <w:tcW w:w="2149" w:type="pct"/>
            <w:shd w:val="clear" w:color="auto" w:fill="4F81BD"/>
            <w:vAlign w:val="center"/>
          </w:tcPr>
          <w:p w:rsidR="002B679A" w:rsidRPr="00926E4A" w:rsidRDefault="002B679A" w:rsidP="002B679A">
            <w:pPr>
              <w:spacing w:before="120" w:after="120"/>
              <w:jc w:val="center"/>
              <w:rPr>
                <w:rFonts w:cs="Calibri"/>
                <w:b/>
                <w:color w:val="FFFFFF"/>
                <w:sz w:val="20"/>
                <w:szCs w:val="20"/>
              </w:rPr>
            </w:pPr>
            <w:r w:rsidRPr="00926E4A">
              <w:rPr>
                <w:rFonts w:cs="Calibri"/>
                <w:b/>
                <w:color w:val="FFFFFF"/>
                <w:sz w:val="20"/>
                <w:szCs w:val="20"/>
              </w:rPr>
              <w:t>ocena doboru wskaźnika</w:t>
            </w:r>
          </w:p>
        </w:tc>
      </w:tr>
      <w:tr w:rsidR="002B679A" w:rsidRPr="0068041B" w:rsidTr="002B679A">
        <w:tc>
          <w:tcPr>
            <w:tcW w:w="2851" w:type="pct"/>
            <w:shd w:val="clear" w:color="auto" w:fill="E6E6E6"/>
            <w:vAlign w:val="center"/>
          </w:tcPr>
          <w:p w:rsidR="002B679A" w:rsidRPr="00926E4A" w:rsidRDefault="002B679A" w:rsidP="002B679A">
            <w:pPr>
              <w:spacing w:before="120" w:after="120"/>
              <w:jc w:val="center"/>
              <w:rPr>
                <w:i/>
                <w:sz w:val="20"/>
                <w:szCs w:val="20"/>
              </w:rPr>
            </w:pPr>
            <w:r w:rsidRPr="00926E4A">
              <w:rPr>
                <w:rFonts w:eastAsia="Times New Roman" w:cs="Arial"/>
                <w:bCs/>
                <w:iCs/>
                <w:sz w:val="20"/>
                <w:szCs w:val="20"/>
                <w:lang w:eastAsia="pl-PL"/>
              </w:rPr>
              <w:t>Liczba etatomiesięcy finansowanych ze środków pomocy technicznej</w:t>
            </w:r>
          </w:p>
        </w:tc>
        <w:tc>
          <w:tcPr>
            <w:tcW w:w="2149" w:type="pct"/>
            <w:vAlign w:val="center"/>
          </w:tcPr>
          <w:p w:rsidR="002B679A" w:rsidRPr="00926E4A" w:rsidRDefault="002B679A" w:rsidP="002B679A">
            <w:pPr>
              <w:spacing w:before="120" w:after="120"/>
              <w:jc w:val="center"/>
              <w:rPr>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RDefault="002B679A" w:rsidP="002B679A">
            <w:pPr>
              <w:spacing w:before="120" w:after="120"/>
              <w:jc w:val="center"/>
              <w:rPr>
                <w:i/>
                <w:sz w:val="20"/>
                <w:szCs w:val="20"/>
              </w:rPr>
            </w:pPr>
            <w:r w:rsidRPr="00926E4A">
              <w:rPr>
                <w:rFonts w:eastAsia="Times New Roman" w:cs="Arial"/>
                <w:bCs/>
                <w:iCs/>
                <w:sz w:val="20"/>
                <w:szCs w:val="20"/>
                <w:lang w:eastAsia="pl-PL"/>
              </w:rPr>
              <w:t>Liczba uczestników form szkoleniowych dla instytucji</w:t>
            </w:r>
          </w:p>
        </w:tc>
        <w:tc>
          <w:tcPr>
            <w:tcW w:w="2149" w:type="pct"/>
            <w:vAlign w:val="center"/>
          </w:tcPr>
          <w:p w:rsidR="002B679A" w:rsidRPr="00926E4A" w:rsidRDefault="002B679A" w:rsidP="002B679A">
            <w:pPr>
              <w:spacing w:before="120" w:after="120"/>
              <w:jc w:val="center"/>
              <w:rPr>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RDefault="002B679A" w:rsidP="002B679A">
            <w:pPr>
              <w:spacing w:before="120" w:after="120"/>
              <w:jc w:val="center"/>
              <w:rPr>
                <w:i/>
                <w:sz w:val="20"/>
                <w:szCs w:val="20"/>
              </w:rPr>
            </w:pPr>
            <w:r w:rsidRPr="00926E4A">
              <w:rPr>
                <w:rFonts w:eastAsia="Times New Roman" w:cs="Arial"/>
                <w:bCs/>
                <w:iCs/>
                <w:sz w:val="20"/>
                <w:szCs w:val="20"/>
                <w:lang w:eastAsia="pl-PL"/>
              </w:rPr>
              <w:t>Liczba przeprowadzonych ewaluacji</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RDefault="002B679A" w:rsidP="002B679A">
            <w:pPr>
              <w:spacing w:before="120" w:after="120"/>
              <w:jc w:val="center"/>
              <w:rPr>
                <w:i/>
                <w:sz w:val="20"/>
                <w:szCs w:val="20"/>
              </w:rPr>
            </w:pPr>
            <w:r w:rsidRPr="00926E4A">
              <w:rPr>
                <w:rFonts w:eastAsia="Times New Roman" w:cs="Arial"/>
                <w:bCs/>
                <w:iCs/>
                <w:sz w:val="20"/>
                <w:szCs w:val="20"/>
                <w:lang w:eastAsia="pl-PL"/>
              </w:rPr>
              <w:t>Liczba projektów objętych wsparciem</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RDefault="002B679A" w:rsidP="002B679A">
            <w:pPr>
              <w:spacing w:before="120" w:after="120"/>
              <w:jc w:val="center"/>
              <w:rPr>
                <w:i/>
                <w:sz w:val="20"/>
                <w:szCs w:val="20"/>
              </w:rPr>
            </w:pPr>
            <w:r w:rsidRPr="00926E4A">
              <w:rPr>
                <w:rFonts w:eastAsia="Times New Roman" w:cs="Arial"/>
                <w:bCs/>
                <w:iCs/>
                <w:sz w:val="20"/>
                <w:szCs w:val="20"/>
                <w:lang w:eastAsia="pl-PL"/>
              </w:rPr>
              <w:t>Liczba uczestników form szkoleniowych dla beneficjentów</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działań informacyjno-promocyjnych o szerokim zasięgu.</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odwiedzin portalu informacyjnego/serwisu internetowego</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materiałów informacyjnych lub promocyjnych wydanych w formie elektronicznej</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posiedzeń sieci tematycznych, grup roboczych, komitetów oraz ciał angażujących partnerów spoza administracji publicznej</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zakupionych urządzeń oraz elementów wyposażenia stanowiska pracy</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opracowanych ekspertyz</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r w:rsidR="002B679A" w:rsidRPr="0068041B" w:rsidTr="002B679A">
        <w:tc>
          <w:tcPr>
            <w:tcW w:w="2851" w:type="pct"/>
            <w:shd w:val="clear" w:color="auto" w:fill="E6E6E6"/>
            <w:vAlign w:val="center"/>
          </w:tcPr>
          <w:p w:rsidR="002B679A" w:rsidRPr="00926E4A" w:rsidDel="00494461" w:rsidRDefault="002B679A" w:rsidP="002B679A">
            <w:pPr>
              <w:spacing w:before="120" w:after="120"/>
              <w:jc w:val="center"/>
              <w:rPr>
                <w:i/>
                <w:sz w:val="20"/>
                <w:szCs w:val="20"/>
              </w:rPr>
            </w:pPr>
            <w:r w:rsidRPr="00926E4A">
              <w:rPr>
                <w:rFonts w:eastAsia="Times New Roman" w:cs="Arial"/>
                <w:bCs/>
                <w:iCs/>
                <w:sz w:val="20"/>
                <w:szCs w:val="20"/>
                <w:lang w:eastAsia="pl-PL"/>
              </w:rPr>
              <w:t>Liczba zorganizowanych spotkań, konferencji, seminariów</w:t>
            </w:r>
          </w:p>
        </w:tc>
        <w:tc>
          <w:tcPr>
            <w:tcW w:w="2149" w:type="pct"/>
            <w:vAlign w:val="center"/>
          </w:tcPr>
          <w:p w:rsidR="002B679A" w:rsidRPr="00926E4A" w:rsidRDefault="002B679A" w:rsidP="002B679A">
            <w:pPr>
              <w:spacing w:before="120" w:after="120"/>
              <w:jc w:val="center"/>
              <w:rPr>
                <w:rFonts w:cs="Calibri"/>
                <w:sz w:val="20"/>
                <w:szCs w:val="20"/>
              </w:rPr>
            </w:pPr>
            <w:r w:rsidRPr="00926E4A">
              <w:rPr>
                <w:rFonts w:cs="Calibri"/>
                <w:sz w:val="20"/>
                <w:szCs w:val="20"/>
              </w:rPr>
              <w:t>wskaźnik dobrany prawidłowo</w:t>
            </w:r>
          </w:p>
        </w:tc>
      </w:tr>
    </w:tbl>
    <w:p w:rsidR="002B679A" w:rsidRDefault="002B679A" w:rsidP="002B679A">
      <w:pPr>
        <w:ind w:left="360"/>
        <w:jc w:val="center"/>
        <w:rPr>
          <w:i/>
          <w:sz w:val="20"/>
        </w:rPr>
      </w:pPr>
      <w:r>
        <w:rPr>
          <w:i/>
          <w:sz w:val="20"/>
        </w:rPr>
        <w:t>Źródło: Opracowanie własne</w:t>
      </w:r>
    </w:p>
    <w:p w:rsidR="002B679A" w:rsidRDefault="002B679A" w:rsidP="002B679A">
      <w:pPr>
        <w:ind w:left="360"/>
        <w:jc w:val="center"/>
        <w:rPr>
          <w:i/>
          <w:sz w:val="20"/>
        </w:rPr>
      </w:pPr>
    </w:p>
    <w:p w:rsidR="002B679A" w:rsidRDefault="002B679A" w:rsidP="002B679A"/>
    <w:p w:rsidR="00230E9D" w:rsidRDefault="008B0D93" w:rsidP="008B0D93">
      <w:pPr>
        <w:pStyle w:val="Nagwek1"/>
      </w:pPr>
      <w:r>
        <w:lastRenderedPageBreak/>
        <w:t xml:space="preserve"> </w:t>
      </w:r>
      <w:bookmarkStart w:id="28" w:name="_Toc384914412"/>
      <w:r w:rsidR="00230E9D">
        <w:t>Ocena systemu realizacji</w:t>
      </w:r>
      <w:bookmarkEnd w:id="28"/>
    </w:p>
    <w:p w:rsidR="002B679A" w:rsidRDefault="002B679A" w:rsidP="002B679A">
      <w:pPr>
        <w:pStyle w:val="Nagwek2"/>
      </w:pPr>
      <w:bookmarkStart w:id="29" w:name="_Toc384914413"/>
      <w:r>
        <w:t>Ocena potencjału instytucjonalnego</w:t>
      </w:r>
      <w:bookmarkEnd w:id="29"/>
    </w:p>
    <w:p w:rsidR="002B679A" w:rsidRDefault="002B679A" w:rsidP="002B679A">
      <w:r>
        <w:t xml:space="preserve">Jednym z warunków skutecznej realizacji RPO jest adekwatne zaplanowanie systemu realizacji. W RPO WP 2014-2020, zgodnie z wymaganiami Rozporządzenia ogólnego, wskazano instytucje zaangażowane we wdrażanie programu. Kluczowe znaczenie będzie miała instytucja zarządzająca. </w:t>
      </w:r>
      <w:r w:rsidRPr="008858F0">
        <w:t>Funkcję tę</w:t>
      </w:r>
      <w:r>
        <w:t xml:space="preserve"> będzie pełnił Zarząd Województwa Podkarpackiego. Będzie on również pełnił funkcję instytucji certyfikującej. Zaproponowane rozwiązanie jest zgodne z ogólnymi zasadami realizacji polityki spójności i nie budzi wątpliwości. </w:t>
      </w:r>
    </w:p>
    <w:p w:rsidR="002B679A" w:rsidRDefault="002B679A" w:rsidP="002B679A">
      <w:r>
        <w:t xml:space="preserve">Pomimo, że w programie nie ma konieczności szczegółowego określania struktury instytucjonalnej systemu realizacji, to w trakcie ewaluacji ex-ante kwestia ta została poddana analizie, a wnioski mogą być wykorzystane przy tworzeniu struktury instytucjonalnej (określonej w dokumentach niższego rzędu). Wobec konieczności równoległej pracy nad programem operacyjnym oraz przygotowaniem do wdrażania, konieczne jest możliwie szybkie określenie docelowego układu instytucjonalnego, aby rozpocząć przygotowania w poszczególnych komórkach. </w:t>
      </w:r>
    </w:p>
    <w:p w:rsidR="002B679A" w:rsidRDefault="002B679A" w:rsidP="002B679A">
      <w:r>
        <w:t>Zarząd Województwa będzie obsługiwany przez Urząd Marszałkowski, w którym zadania instytucji zarządzającej będzie pełniło kilka departamentów. Wśród nich najważniejsze będą:</w:t>
      </w:r>
    </w:p>
    <w:p w:rsidR="002B679A" w:rsidRDefault="002B679A" w:rsidP="006E6138">
      <w:pPr>
        <w:pStyle w:val="Akapitzlist"/>
        <w:numPr>
          <w:ilvl w:val="0"/>
          <w:numId w:val="38"/>
        </w:numPr>
        <w:jc w:val="left"/>
      </w:pPr>
      <w:r>
        <w:t>Departament Rozwoju Regionalnego (DRR) – koordynujący zadania związane z programowaniem i wdrażaniem RPO WP 2014-2020,</w:t>
      </w:r>
    </w:p>
    <w:p w:rsidR="002B679A" w:rsidRDefault="002B679A" w:rsidP="006E6138">
      <w:pPr>
        <w:pStyle w:val="Akapitzlist"/>
        <w:numPr>
          <w:ilvl w:val="0"/>
          <w:numId w:val="38"/>
        </w:numPr>
        <w:jc w:val="left"/>
      </w:pPr>
      <w:r>
        <w:t xml:space="preserve">Departament Wdrażania </w:t>
      </w:r>
      <w:r w:rsidRPr="005B3610">
        <w:t>Projektów</w:t>
      </w:r>
      <w:r>
        <w:t xml:space="preserve"> Infrastrukturalnych Regionalnego Programu Operacyjnego (DPI)</w:t>
      </w:r>
    </w:p>
    <w:p w:rsidR="002B679A" w:rsidRPr="005B3610" w:rsidRDefault="002B679A" w:rsidP="006E6138">
      <w:pPr>
        <w:pStyle w:val="Akapitzlist"/>
        <w:numPr>
          <w:ilvl w:val="0"/>
          <w:numId w:val="38"/>
        </w:numPr>
        <w:jc w:val="left"/>
      </w:pPr>
      <w:r>
        <w:t xml:space="preserve">Departament Wspierania </w:t>
      </w:r>
      <w:r w:rsidRPr="005B3610">
        <w:t xml:space="preserve">Przedsiębiorczości (DWP). </w:t>
      </w:r>
    </w:p>
    <w:p w:rsidR="002B679A" w:rsidRPr="004175B6" w:rsidRDefault="002B679A" w:rsidP="002B679A">
      <w:r w:rsidRPr="00FE0BD4">
        <w:t>Wszystkie te komórki będą pełniły funkcję instytucji zarządzającej. Dodatkowo w systemie istotną rolę pełnił będzie Wojewódzki Urząd Pracy (WUP), który będzie odpowiedzialny za wdrażanie osi priorytetowych finansowanych z Europejskiego Funduszu Społecznego. Dotychczas nie rozstrzygnięto, czy instytucja ta będzie miała status instytucji pośredniczącej, czy też będzie elementem instytucji zarządzającej. Zapewne bardziej przejrzyste byłoby rozwiązanie, w którym WUP funkcjonował będzie jako IP. Z drugiej</w:t>
      </w:r>
      <w:r>
        <w:t xml:space="preserve"> strony WUP wykonuje zadania </w:t>
      </w:r>
      <w:r w:rsidRPr="004175B6">
        <w:rPr>
          <w:bCs/>
        </w:rPr>
        <w:t>samorządu województwa w</w:t>
      </w:r>
      <w:r>
        <w:rPr>
          <w:bCs/>
        </w:rPr>
        <w:t> </w:t>
      </w:r>
      <w:r w:rsidRPr="004175B6">
        <w:rPr>
          <w:bCs/>
        </w:rPr>
        <w:t xml:space="preserve">zakresie polityki rynku pracy i zgodnie z Ustawą o promocji zatrudnienia i instytucjach rynku pracy jest jednostką organizacyjną samorządu województwa. </w:t>
      </w:r>
      <w:r>
        <w:rPr>
          <w:bCs/>
        </w:rPr>
        <w:t xml:space="preserve">Kwestia ta powinna być rozpatrzona przede wszystkim z punktu widzenia prawnego, co wymaga opinii prawnej. </w:t>
      </w:r>
    </w:p>
    <w:p w:rsidR="002B679A" w:rsidRPr="004175B6" w:rsidRDefault="002B679A" w:rsidP="002B679A">
      <w:r>
        <w:t xml:space="preserve">Proponuje się, aby DRR koncentrował się na określaniu zasad realizacji oraz podejmowaniu rozstrzygnięć o charakterze strategicznym, jak też był odpowiedzialny za wszelkie procesy o charakterze horyzontalnym, takie jak np., promocja, ewaluacja i </w:t>
      </w:r>
      <w:r w:rsidRPr="00371DA2">
        <w:t xml:space="preserve">monitoring na </w:t>
      </w:r>
      <w:r w:rsidRPr="004175B6">
        <w:t>poziomie programu operacyjnego</w:t>
      </w:r>
      <w:r w:rsidRPr="00371DA2">
        <w:t>,</w:t>
      </w:r>
      <w:r w:rsidRPr="004175B6">
        <w:t xml:space="preserve"> pomoc techniczna itd. </w:t>
      </w:r>
    </w:p>
    <w:p w:rsidR="002B679A" w:rsidRDefault="002B679A" w:rsidP="002B679A">
      <w:r w:rsidRPr="004175B6">
        <w:t xml:space="preserve">Natomiast pozostałe komórki </w:t>
      </w:r>
      <w:r>
        <w:t>mogłyby się koncentrować na wdrażaniu programu, czyli ogłaszaniu i prowadzeniu</w:t>
      </w:r>
      <w:r w:rsidRPr="004175B6">
        <w:t xml:space="preserve"> naborów, wyb</w:t>
      </w:r>
      <w:r>
        <w:t>orze operacji, kontraktowaniu</w:t>
      </w:r>
      <w:r w:rsidRPr="004175B6">
        <w:t xml:space="preserve">, </w:t>
      </w:r>
      <w:r>
        <w:t>bieżącym</w:t>
      </w:r>
      <w:r w:rsidRPr="004175B6">
        <w:t xml:space="preserve"> </w:t>
      </w:r>
      <w:r>
        <w:t>monitorowaniu</w:t>
      </w:r>
      <w:r w:rsidRPr="004175B6">
        <w:t xml:space="preserve"> projektów i ich </w:t>
      </w:r>
      <w:r>
        <w:t>rozliczaniu, a także kontrolowaniu prawidłowości ich realizacji</w:t>
      </w:r>
      <w:r w:rsidRPr="004175B6">
        <w:t>. Rozwiązanie to ma niewątpliwie szereg zalet</w:t>
      </w:r>
      <w:r>
        <w:t>, wśród których należy wymieć</w:t>
      </w:r>
      <w:r w:rsidRPr="004175B6">
        <w:t>:</w:t>
      </w:r>
    </w:p>
    <w:p w:rsidR="002B679A" w:rsidRDefault="002B679A" w:rsidP="006E6138">
      <w:pPr>
        <w:pStyle w:val="Akapitzlist"/>
        <w:numPr>
          <w:ilvl w:val="0"/>
          <w:numId w:val="39"/>
        </w:numPr>
      </w:pPr>
      <w:r>
        <w:lastRenderedPageBreak/>
        <w:t>ograniczenie nadmiernej rozbudowy struktury organizacyjnej i ryzyka wydłużania się ścieżki decyzyjnej,</w:t>
      </w:r>
    </w:p>
    <w:p w:rsidR="002B679A" w:rsidRDefault="002B679A" w:rsidP="006E6138">
      <w:pPr>
        <w:pStyle w:val="Akapitzlist"/>
        <w:numPr>
          <w:ilvl w:val="0"/>
          <w:numId w:val="39"/>
        </w:numPr>
      </w:pPr>
      <w:r>
        <w:t xml:space="preserve">jasny podział zadań i odpowiedzialności, </w:t>
      </w:r>
    </w:p>
    <w:p w:rsidR="002B679A" w:rsidRDefault="002B679A" w:rsidP="006E6138">
      <w:pPr>
        <w:pStyle w:val="Akapitzlist"/>
        <w:numPr>
          <w:ilvl w:val="0"/>
          <w:numId w:val="39"/>
        </w:numPr>
      </w:pPr>
      <w:r>
        <w:t xml:space="preserve">ograniczenie ryzyka nieprawidłowej realizacji części programu w związku z delegowaniem zadań. </w:t>
      </w:r>
    </w:p>
    <w:p w:rsidR="002B679A" w:rsidRDefault="002B679A" w:rsidP="002B679A">
      <w:r>
        <w:t>Pełne wykorzystanie zalet powyższego rozwiązania wymaga udoskonalenia mechanizmów przepływu wiedzy i opinii pomiędzy DRR i pozostałymi komórkami. Ważna jest też rola WUP. Ponieważ w</w:t>
      </w:r>
      <w:r w:rsidR="002F7C58">
        <w:t> </w:t>
      </w:r>
      <w:r>
        <w:t xml:space="preserve"> perspektywie 2007-2013 WUP realizował wszystkie zadania związane z Europejskim Funduszem Społecznym, kompetencje dotyczące tego obszaru umiejscowione są w tej instytucji. W związku z</w:t>
      </w:r>
      <w:r w:rsidR="002F7C58">
        <w:t> </w:t>
      </w:r>
      <w:r>
        <w:t xml:space="preserve"> tym możliwe są dwa rozwiązanie: wzmocnienia UM w zakresie EFS (np. poprzez przeniesienie części pracowników z WUP) lub powierzenie WUP większego zakresu odpowiedzialności. Biorąc pod uwagę, że WUP odpowiada za politykę rynku pracy w województwie, ta druga opcja wydaje się bardziej adekwatna. </w:t>
      </w:r>
    </w:p>
    <w:p w:rsidR="002B679A" w:rsidRDefault="002B679A" w:rsidP="002B679A">
      <w:r>
        <w:t>W strukturze urzędu ważne jest tworzenie dla wybranych zagadnień, wymagających specjalistycznej wiedzy, tzw. centrów kompetencyjnych. Chodzi tu o wyznaczenie grupy osób (od dwóch do pięciu), których zadaniem będzie m.in. zgłębianie i poszerzanie swojej wiedzy na dany temat oraz wspieranie pozostałych komórek w przypadku pojawiania się problemów lub wątpliwości. Przykładem takiego obszaru może być pomoc publiczna.</w:t>
      </w:r>
    </w:p>
    <w:p w:rsidR="002B679A" w:rsidRDefault="002B679A" w:rsidP="002B679A">
      <w:r>
        <w:t>O potencjale instytucjonalnym decyduje również liczba i przygotowanie pracowników. Liczba pracowników zatrudnionych przy RPO, w stosunku do innych województw, jest umiarkowana. Według stanu na koniec I półrocza 2013 r. przy RPO zatrudnionych było 256 osób na 248 etatach</w:t>
      </w:r>
      <w:r>
        <w:rPr>
          <w:rStyle w:val="Odwoanieprzypisudolnego"/>
        </w:rPr>
        <w:footnoteReference w:id="120"/>
      </w:r>
      <w:r>
        <w:t xml:space="preserve">. Zatrudnienie przy RPO jest również stosunkowo stabilne. </w:t>
      </w:r>
      <w:r w:rsidRPr="00371DA2">
        <w:t>Średni wskaźnik</w:t>
      </w:r>
      <w:r w:rsidRPr="006D1CDE">
        <w:t xml:space="preserve"> rotacji</w:t>
      </w:r>
      <w:r>
        <w:t xml:space="preserve"> pomiędzy II połową 2011 r. i I połową 2013 r. wyniósł 2%, podczas gdy przeciętnie dla RPO wynosił 2,5%. Ta stosunkowo dobra pozycja może jednak wynikać z trudnej sytuacji na podkarpackim rynku pracy, a niekoniecznie wiązać się z wysoką jakością pracy w UM. </w:t>
      </w:r>
    </w:p>
    <w:p w:rsidR="002B679A" w:rsidRDefault="002B679A" w:rsidP="002B679A">
      <w:r>
        <w:t>Na podstawie dostępnych danych trudno jest jednoznacznie ocenić obciążenie pracą w UM i WUP w</w:t>
      </w:r>
      <w:r w:rsidR="002F7C58">
        <w:t> </w:t>
      </w:r>
      <w:r>
        <w:t xml:space="preserve"> Rzeszowie. Jak wynika z analiz potencjału administracyjnego systemu instytucjonalnego NSRO, UM WP, w porównaniu do innych instytucji zaliczanych do tej samej kategorii, charakteryzuje się </w:t>
      </w:r>
      <w:r w:rsidRPr="006D1CDE">
        <w:t>wyższ</w:t>
      </w:r>
      <w:r>
        <w:t>ą</w:t>
      </w:r>
      <w:r w:rsidRPr="00371DA2">
        <w:t xml:space="preserve"> niż przeciętnie liczb</w:t>
      </w:r>
      <w:r>
        <w:t xml:space="preserve">ą aneksów do umów przypadających na etat. Natomiast pozostałe wskaźniki obciążenia pracą (np. liczba wniosków o dofinansowanie na etat, liczba umów na etat itd.) są niższe od średnich dla danej kategorii instytucji. </w:t>
      </w:r>
    </w:p>
    <w:p w:rsidR="002B679A" w:rsidRDefault="002B679A" w:rsidP="002B679A">
      <w:r>
        <w:t>Kluczowe jest jednak, w jaki sposób powyższa sytuacja wpływa na sprawność funkcjonowania systemu wdrażania. Wskaźnikiem sprawności systemu wdrażania jest czas weryfikacji wniosku beneficjenta o płatność. Zgodnie z wynikami przywoływanej już analizy, czas weryfikacji wniosku beneficjenta o płatność w ramach RPO WP 2007-2013 jest bliski przeciętnemu dla danej kategorii instytucji.</w:t>
      </w:r>
      <w:r>
        <w:rPr>
          <w:rStyle w:val="Odwoanieprzypisudolnego"/>
        </w:rPr>
        <w:footnoteReference w:id="121"/>
      </w:r>
      <w:r>
        <w:t xml:space="preserve"> Badanie ewaluacyjne, dotyczące sprawności przepływów finansowych w ramach Regionalnego Programu Operacyjnego Województwa Podkarpackiego na lata 2007-2013 wykazało, </w:t>
      </w:r>
      <w:r>
        <w:lastRenderedPageBreak/>
        <w:t>że przebieg procesu weryfikacji wniosków o płatność oceniany jest jako sprawny i płynny – rzeczywisty czas weryfikacji wniosków o płatność jest średnio 2-3 krotnie niższy niż założony w</w:t>
      </w:r>
      <w:r w:rsidR="002F7C58">
        <w:t> </w:t>
      </w:r>
      <w:r>
        <w:t xml:space="preserve"> procedurach.</w:t>
      </w:r>
      <w:r>
        <w:rPr>
          <w:rStyle w:val="Odwoanieprzypisudolnego"/>
        </w:rPr>
        <w:footnoteReference w:id="122"/>
      </w:r>
      <w:r>
        <w:t xml:space="preserve"> Wnioski te dotyczyły sytuacji w roku 2009. Niewątpliwie w pierwszym okresie realizacji nowego programu operacyjnego wskazane jest powtórzenie tego badania. </w:t>
      </w:r>
    </w:p>
    <w:p w:rsidR="002B679A" w:rsidRDefault="002B679A" w:rsidP="002B679A">
      <w:r>
        <w:t xml:space="preserve">Natomiast w przypadku WUP widoczne jest </w:t>
      </w:r>
      <w:r w:rsidRPr="00371DA2">
        <w:t>większ</w:t>
      </w:r>
      <w:r w:rsidRPr="006109F1">
        <w:t>e</w:t>
      </w:r>
      <w:r w:rsidRPr="00371DA2">
        <w:t xml:space="preserve"> niż przeciętne obciążenie</w:t>
      </w:r>
      <w:r>
        <w:t xml:space="preserve"> pracą w przypadku niemal wszystkich dostępnych wskaźników, a wyjątkowo duże dla liczby wniosków o dofinansowanie na etat. Wskazuje to, że zasadne może być wzmocnienie potencjału tej instytucji (przy czym ostateczna decyzja powinna być podjęta na podstawie zakresu jej zadań). Z drugiej strony przeciętne czasy weryfikacji wniosków o płatność są stosunkowo niskie, co świadczy o dużej sprawności instytucjonalnej WUP. </w:t>
      </w:r>
    </w:p>
    <w:p w:rsidR="002B679A" w:rsidRDefault="002B679A" w:rsidP="002B679A">
      <w:r>
        <w:t>W nadchodzących latach możliwe jest pojawienie się „wąskich gardeł” w istniejącym układzie instytucjonalnym, ze względu na nakładanie się dwóch perspektyw. Wskazane jest rozważenie zatrudnienia na ten okres dodatkowych pracowników, którzy mogliby zająć się zadaniami o</w:t>
      </w:r>
      <w:r w:rsidR="002F7C58">
        <w:t> </w:t>
      </w:r>
      <w:r>
        <w:t xml:space="preserve"> charakterze bardziej technicznym, odciążając pracowników o większym doświadczeniu i kompetencjach. Jak wynika z analizy potencjału administracyjnego systemu instytucjonalnego NSRO 2007-2013, w województwie podkarpackim przy wdrażaniu RPO WP 2007-2013 zatrudnionych jest, w porównaniu do innych województw, bardzo dużo osób z wykształceniem wyższym, co świadczyć może o nieoptymalnej proporcji pomiędzy pracownikami merytorycznymi i wspierającymi ich pracę. </w:t>
      </w:r>
    </w:p>
    <w:p w:rsidR="002B679A" w:rsidRDefault="002B679A" w:rsidP="002B679A">
      <w:r>
        <w:t>W trakcie prac nad system wdrażania RPO WP 2014-2020 należy zwrócić szczególną uwagę również na przygotowanie kadr do wypełniania stawianych przed nimi zadań. Badanie przeprowadzone w</w:t>
      </w:r>
      <w:r w:rsidR="002F7C58">
        <w:t> </w:t>
      </w:r>
      <w:r>
        <w:t xml:space="preserve"> roku 2009 wykazało, że pracownicy, szczególnie zajmujący się rozliczaniem projektów, posiadają odpowiednie kwalifikacje, zaś jakość ich pracy oceniono wysoko. Wynika to przede wszystkim z posiadanego przez nich doświadczenia.</w:t>
      </w:r>
      <w:r>
        <w:rPr>
          <w:rStyle w:val="Odwoanieprzypisudolnego"/>
        </w:rPr>
        <w:footnoteReference w:id="123"/>
      </w:r>
      <w:r>
        <w:t xml:space="preserve"> Biorąc pod uwagę niski poziom rotacji pracowników, należy przypuszczać, że doświadczenie i kompetencje pracowników są nadal głównym atutem systemu instytucjonalnego. Jednak wiedza i umiejętności powinny być stale rozwijane. Niemniej, jak wynika z dostępnych statystyk, w I połowie 2013 r. zaledwie 56 pracowników pracujących przy RPO WP 2007-2013 brało udział w szkoleniach, co stanowiło zaledwie 10% pracowników. Jest to poziom zdecydowanie zbyt niski w stosunku do potrzeb. Wniosek ten potwierdzają również pracownicy UM i WUP, uczestniczący w warsztatach przeprowadzonych w ramach niniejszej ewaluacji. Odczuwają oni deficyt możliwości rozwijania swoich kompetencji. Dlatego też wskazane jest wdrożenie bardziej systematycznego podejścia do zarządzania zasobami ludzkimi, obejmującego m.in. rozpoznanie potrzeb szkoleniowych, przygotowanie indywidualnych planów rozwoju każdego pracownika oraz ich wdrożenie. Zmiany te powinny dotyczyć nie tylko osób zatrudnionych przy programie, ale wszystkich pracowników UM i WUP. W celu ograniczenia kosztów inwestycji w rozwój zawodowy pracowników wskazane jest wykorzystanie w większym stopniu szkoleń wewnętrznych. </w:t>
      </w:r>
    </w:p>
    <w:p w:rsidR="002B679A" w:rsidRDefault="002B679A" w:rsidP="002B679A"/>
    <w:p w:rsidR="002B679A" w:rsidRDefault="002B679A" w:rsidP="002B679A">
      <w:pPr>
        <w:pStyle w:val="Nagwek2"/>
      </w:pPr>
      <w:bookmarkStart w:id="30" w:name="_Toc384793935"/>
      <w:bookmarkStart w:id="31" w:name="_Toc384914414"/>
      <w:r>
        <w:lastRenderedPageBreak/>
        <w:t>Monitoring i ewaluacja</w:t>
      </w:r>
      <w:bookmarkEnd w:id="30"/>
      <w:bookmarkEnd w:id="31"/>
      <w:r>
        <w:t xml:space="preserve"> </w:t>
      </w:r>
    </w:p>
    <w:p w:rsidR="002B679A" w:rsidRDefault="002B679A" w:rsidP="002B679A">
      <w:pPr>
        <w:pStyle w:val="Tekstpodstawowy"/>
      </w:pPr>
      <w:r>
        <w:t>Wzrost znaczenia osiąganych efektów w nowej perspektywie finansowej powoduje, że większego znaczenia nabiorą system monitorowania i ewaluacji. Dlatego też wskazane jest zwrócenie szczególnej uwagi na te procesy.</w:t>
      </w:r>
    </w:p>
    <w:p w:rsidR="002B679A" w:rsidRPr="00F2408E" w:rsidRDefault="002B679A" w:rsidP="002B679A">
      <w:pPr>
        <w:pStyle w:val="Nagwek3"/>
      </w:pPr>
      <w:r>
        <w:t>System ewaluacji</w:t>
      </w:r>
    </w:p>
    <w:p w:rsidR="002B679A" w:rsidRDefault="002B679A" w:rsidP="002B679A">
      <w:pPr>
        <w:pStyle w:val="Tekstpodstawowy"/>
      </w:pPr>
      <w:r>
        <w:t>W przypadku ewaluacji kluczowym dokumentem będzie plan ewaluacji programu operacyjnego. Choć plan ten musi być przygotowany rok po zaakceptowaniu programu, to jednak warto rozpocząć pracę nad nim możliwie wcześnie, tak aby możliwe było zidentyfikowanie tych obszarów, w których zasadne będzie prowadzenie pomiaru przed interwencją (pre-test) oraz określenie danych, które powinny być zbierane w ramach systemu monitorowania, niezbędnych do późniejszej ewaluacji programu. Przygotowując ten dokument należy bazować na dostępnych wytycznych Komisji Europejskiej dotyczących ewaluacji i monitoringu Europejskiego Funduszu Rozwoju Regionalnego i</w:t>
      </w:r>
      <w:r w:rsidR="002F7C58">
        <w:t> </w:t>
      </w:r>
      <w:r>
        <w:t xml:space="preserve"> Europejskiego Funduszu Społecznego. Przy przygotowaniu planu pomocne też będą wytyczne opracowywane przez Krajową Jednostkę Oceny (niedostępne w momencie opracowywania niniejszego raportu). </w:t>
      </w:r>
    </w:p>
    <w:p w:rsidR="002B679A" w:rsidRDefault="002B679A" w:rsidP="002B679A">
      <w:pPr>
        <w:pStyle w:val="Tekstpodstawowy"/>
      </w:pPr>
      <w:r>
        <w:t xml:space="preserve">Na podstawie analizy wstępnych planów dotyczących ewaluacji RPO WP 2014-2020 można stwierdzić, że ewaluacja w przyszłym okresie programowania będzie zdecydowanie bardziej wymagająca. Wynika to ze wzrostu znaczenia ewaluacji wpływu, która jest znacznie trudniejsza i jej solidne przeprowadzenie wymaga odpowiednich kompetencji i zasobów. Dlatego też wskazane jest zwiększenie potencjału komórek odpowiedzialnych za ewaluację. W obecnej perspektywie funkcjonowały dwie komórki: jedna odpowiedzialna za RPO WP </w:t>
      </w:r>
      <w:r w:rsidRPr="005B3610">
        <w:t>2007-2013, druga za ewaluację komponentu regionalnego PO KL. W nowej perspektywie zasadne jest</w:t>
      </w:r>
      <w:r>
        <w:t xml:space="preserve"> połączenie tych dwóch komórek i zwiększenie liczby zatrudnionych osób. </w:t>
      </w:r>
    </w:p>
    <w:p w:rsidR="002B679A" w:rsidRDefault="002B679A" w:rsidP="002B679A">
      <w:pPr>
        <w:pStyle w:val="Tekstpodstawowy"/>
      </w:pPr>
      <w:r>
        <w:t>Pamiętać również należy, że osoby odpowiedzialne za ewaluacje muszą dysponować stosunkowo szerokim zakresem kompetencji, obejmującym m.in.: wiedzę merytoryczną na temat polityk publicznych, planowanie i zamawianie ewaluacji, metodologię badań społecznych, prawo zamówień publicznych. Równocześnie, wobec stałego rozwoju metodologii badań ewaluacyjnych, muszą nieustannie podnosić swoje kompetencje. Najważniejsze obszary rozwoju kompetencji to:</w:t>
      </w:r>
    </w:p>
    <w:p w:rsidR="002B679A" w:rsidRDefault="002B679A" w:rsidP="006E6138">
      <w:pPr>
        <w:pStyle w:val="Tekstpodstawowy"/>
        <w:numPr>
          <w:ilvl w:val="0"/>
          <w:numId w:val="50"/>
        </w:numPr>
      </w:pPr>
      <w:r>
        <w:t>zakres i możliwości wykorzystania dostępnych danych do ewaluacji,</w:t>
      </w:r>
    </w:p>
    <w:p w:rsidR="002B679A" w:rsidRDefault="002B679A" w:rsidP="006E6138">
      <w:pPr>
        <w:pStyle w:val="Tekstpodstawowy"/>
        <w:numPr>
          <w:ilvl w:val="0"/>
          <w:numId w:val="50"/>
        </w:numPr>
      </w:pPr>
      <w:r>
        <w:t>planowanie procesu ewaluacji i projektowanie badań,</w:t>
      </w:r>
    </w:p>
    <w:p w:rsidR="002B679A" w:rsidRDefault="002B679A" w:rsidP="006E6138">
      <w:pPr>
        <w:pStyle w:val="Tekstpodstawowy"/>
        <w:numPr>
          <w:ilvl w:val="0"/>
          <w:numId w:val="50"/>
        </w:numPr>
      </w:pPr>
      <w:r>
        <w:t>metodologia ewaluacji wpływu, w tym wykorzystanie metod kontrfaktycznych, modeli logicznych, teorii zmiany itd.,</w:t>
      </w:r>
    </w:p>
    <w:p w:rsidR="002B679A" w:rsidRDefault="002B679A" w:rsidP="006E6138">
      <w:pPr>
        <w:pStyle w:val="Tekstpodstawowy"/>
        <w:numPr>
          <w:ilvl w:val="0"/>
          <w:numId w:val="50"/>
        </w:numPr>
      </w:pPr>
      <w:r>
        <w:t xml:space="preserve">mechanizmy zapewniania wysokiej jakości badań.  </w:t>
      </w:r>
    </w:p>
    <w:p w:rsidR="002B679A" w:rsidRPr="00F2408E" w:rsidRDefault="002B679A" w:rsidP="002B679A">
      <w:pPr>
        <w:pStyle w:val="Nagwek3"/>
      </w:pPr>
      <w:r>
        <w:t>System monitorowania</w:t>
      </w:r>
    </w:p>
    <w:p w:rsidR="002B679A" w:rsidRDefault="002B679A" w:rsidP="002B679A">
      <w:pPr>
        <w:pStyle w:val="Tekstpodstawowy"/>
      </w:pPr>
      <w:r>
        <w:t xml:space="preserve">Dla wskaźników w programie określono podstawowe informacje, takie jak źródło danych oraz częstotliwość zbierania. Część wskaźników pochodzi z WLWK, w której zawarto szczegółowe definicje wskaźników, źródła danych oraz sposoby ich szacowania. Należy przy tym zaznaczyć, że nie wszystkie definicje zawarte w WLWK są przydatne dla RPO, odnoszą się bowiem do krajowych programów operacyjnych. Dlatego też, dla zapewnienia wysokiej jakości danych pochodzących z monitoringu, </w:t>
      </w:r>
      <w:r>
        <w:lastRenderedPageBreak/>
        <w:t>wskazane jest opracowanie dokumentu roboczego dla RPO WP 2014-2020</w:t>
      </w:r>
      <w:r>
        <w:rPr>
          <w:rStyle w:val="Odwoanieprzypisudolnego"/>
        </w:rPr>
        <w:footnoteReference w:id="124"/>
      </w:r>
      <w:r>
        <w:t>, w którym zebrane będą wszystkie niezbędne informacje dla każdego ze wskaźników, takie jak:</w:t>
      </w:r>
    </w:p>
    <w:p w:rsidR="002B679A" w:rsidRDefault="002B679A" w:rsidP="006E6138">
      <w:pPr>
        <w:pStyle w:val="Akapitzlist"/>
        <w:numPr>
          <w:ilvl w:val="0"/>
          <w:numId w:val="48"/>
        </w:numPr>
      </w:pPr>
      <w:r>
        <w:t>szczegółowa definicja każdego ze wskaźników,</w:t>
      </w:r>
    </w:p>
    <w:p w:rsidR="002B679A" w:rsidRDefault="002B679A" w:rsidP="006E6138">
      <w:pPr>
        <w:pStyle w:val="Akapitzlist"/>
        <w:numPr>
          <w:ilvl w:val="0"/>
          <w:numId w:val="48"/>
        </w:numPr>
      </w:pPr>
      <w:r>
        <w:t>źródło danych,</w:t>
      </w:r>
    </w:p>
    <w:p w:rsidR="002B679A" w:rsidRDefault="002B679A" w:rsidP="006E6138">
      <w:pPr>
        <w:pStyle w:val="Akapitzlist"/>
        <w:numPr>
          <w:ilvl w:val="0"/>
          <w:numId w:val="48"/>
        </w:numPr>
      </w:pPr>
      <w:r>
        <w:t>sposób obliczania wskaźnika,</w:t>
      </w:r>
    </w:p>
    <w:p w:rsidR="002B679A" w:rsidRDefault="002B679A" w:rsidP="006E6138">
      <w:pPr>
        <w:pStyle w:val="Akapitzlist"/>
        <w:numPr>
          <w:ilvl w:val="0"/>
          <w:numId w:val="48"/>
        </w:numPr>
      </w:pPr>
      <w:r>
        <w:t>pracownicy odpowiedzialni za pozyskiwanie danych,</w:t>
      </w:r>
    </w:p>
    <w:p w:rsidR="002B679A" w:rsidRDefault="002B679A" w:rsidP="006E6138">
      <w:pPr>
        <w:pStyle w:val="Akapitzlist"/>
        <w:numPr>
          <w:ilvl w:val="0"/>
          <w:numId w:val="48"/>
        </w:numPr>
      </w:pPr>
      <w:r>
        <w:t>termin pozyskiwania danych,</w:t>
      </w:r>
    </w:p>
    <w:p w:rsidR="002B679A" w:rsidRDefault="002B679A" w:rsidP="006E6138">
      <w:pPr>
        <w:pStyle w:val="Akapitzlist"/>
        <w:numPr>
          <w:ilvl w:val="0"/>
          <w:numId w:val="48"/>
        </w:numPr>
      </w:pPr>
      <w:r>
        <w:t>zasady interpretacji wskaźnika,</w:t>
      </w:r>
    </w:p>
    <w:p w:rsidR="002B679A" w:rsidRDefault="002B679A" w:rsidP="006E6138">
      <w:pPr>
        <w:pStyle w:val="Akapitzlist"/>
        <w:numPr>
          <w:ilvl w:val="0"/>
          <w:numId w:val="48"/>
        </w:numPr>
      </w:pPr>
      <w:r>
        <w:t>czynniki mogące wpłynąć na wartość wskaźnika, które powinny być brane pod uwagę przy ich analizie i podejmowaniu ewentualnych decyzji dotyczących modyfikacji programu,</w:t>
      </w:r>
    </w:p>
    <w:p w:rsidR="002B679A" w:rsidRPr="005B3610" w:rsidRDefault="002B679A" w:rsidP="006E6138">
      <w:pPr>
        <w:pStyle w:val="Akapitzlist"/>
        <w:numPr>
          <w:ilvl w:val="0"/>
          <w:numId w:val="48"/>
        </w:numPr>
      </w:pPr>
      <w:r>
        <w:t xml:space="preserve">pracownicy odpowiedzialni za analizę wartości </w:t>
      </w:r>
      <w:r w:rsidRPr="005B3610">
        <w:t xml:space="preserve">wskaźnika. </w:t>
      </w:r>
    </w:p>
    <w:p w:rsidR="002B679A" w:rsidRDefault="002B679A" w:rsidP="002B679A">
      <w:pPr>
        <w:pStyle w:val="Tekstpodstawowy"/>
      </w:pPr>
      <w:r>
        <w:t xml:space="preserve">Dokument ten powinien być na bieżąco aktualizowany. Pozwoli to na uwzględnienie w nim wszystkich informacji, które powinny być brane pod uwagę przy analizie i interpretacji wyników. Dodatkowo wskazane jest określenie mechanizmów zapewniania wysokiej jakości danych pochodzących z systemu monitorowania. Wymaga to co najmniej: </w:t>
      </w:r>
    </w:p>
    <w:p w:rsidR="002B679A" w:rsidRDefault="002B679A" w:rsidP="006E6138">
      <w:pPr>
        <w:pStyle w:val="Akapitzlist"/>
        <w:numPr>
          <w:ilvl w:val="0"/>
          <w:numId w:val="49"/>
        </w:numPr>
      </w:pPr>
      <w:r>
        <w:t>określenie kryteriów i standardów jakości danych (takich jak np. trafność, rzetelność, aktualność, precyzja, uczciwość),</w:t>
      </w:r>
    </w:p>
    <w:p w:rsidR="002B679A" w:rsidRDefault="002B679A" w:rsidP="006E6138">
      <w:pPr>
        <w:pStyle w:val="Akapitzlist"/>
        <w:numPr>
          <w:ilvl w:val="0"/>
          <w:numId w:val="49"/>
        </w:numPr>
      </w:pPr>
      <w:r>
        <w:t xml:space="preserve">określenie sposobów sprawdzania spełnienia powyższych kryteriów i standardów, obejmujące co najmniej regularną ocenę jakości zbieranych danych (audyt danych monitoringowych). </w:t>
      </w:r>
    </w:p>
    <w:p w:rsidR="002B679A" w:rsidRDefault="002B679A" w:rsidP="002B679A">
      <w:r>
        <w:t xml:space="preserve">Wdrożenie tych mechanizmów jest kluczowe dla wiarygodności uzyskiwanych informacji. Jest też bardzo ważne z punktu widzenia przyszłych ewaluacji i ich kosztów (dostęp do wysokiej jakości danych monitoringowych znacząco ogranicza koszty ewaluacji). </w:t>
      </w:r>
    </w:p>
    <w:p w:rsidR="002B679A" w:rsidRDefault="002B679A" w:rsidP="002B679A">
      <w:pPr>
        <w:pStyle w:val="Tekstpodstawowy"/>
      </w:pPr>
      <w:r>
        <w:t>Dla zapewnienia powyższych kryteriów i standardów konieczne jest:</w:t>
      </w:r>
    </w:p>
    <w:p w:rsidR="002B679A" w:rsidRDefault="002B679A" w:rsidP="006E6138">
      <w:pPr>
        <w:pStyle w:val="Listapunktowana2"/>
        <w:numPr>
          <w:ilvl w:val="0"/>
          <w:numId w:val="37"/>
        </w:numPr>
        <w:ind w:left="720"/>
      </w:pPr>
      <w:r>
        <w:t>zapewnienie przejrzystości – pełnego dostępu do informacji o zasadach pozyskiwania danych, ale również możliwych obciążeniach, które mogą być istotne przy interpretowaniu danych,</w:t>
      </w:r>
    </w:p>
    <w:p w:rsidR="002B679A" w:rsidRDefault="002B679A" w:rsidP="006E6138">
      <w:pPr>
        <w:pStyle w:val="Listapunktowana2"/>
        <w:numPr>
          <w:ilvl w:val="0"/>
          <w:numId w:val="36"/>
        </w:numPr>
        <w:ind w:left="720"/>
      </w:pPr>
      <w:r>
        <w:t xml:space="preserve">precyzyjne opisanie metodologii oraz wymagań jakościowych na piśmie, tak aby zmiana osób odpowiedzialnych za to zadanie nie prowadziła do zmiany zasad, </w:t>
      </w:r>
    </w:p>
    <w:p w:rsidR="002B679A" w:rsidRDefault="002B679A" w:rsidP="006E6138">
      <w:pPr>
        <w:pStyle w:val="Listapunktowana2"/>
        <w:numPr>
          <w:ilvl w:val="0"/>
          <w:numId w:val="37"/>
        </w:numPr>
        <w:ind w:left="720"/>
      </w:pPr>
      <w:r>
        <w:t>zapisywanie pojawiających się problemów i sposobów ich rozwiązywania, dla zachowania transparentności i ciągłości metodologicznej,</w:t>
      </w:r>
    </w:p>
    <w:p w:rsidR="002B679A" w:rsidRDefault="002B679A" w:rsidP="006E6138">
      <w:pPr>
        <w:pStyle w:val="Listapunktowana2"/>
        <w:numPr>
          <w:ilvl w:val="0"/>
          <w:numId w:val="37"/>
        </w:numPr>
        <w:ind w:left="720"/>
      </w:pPr>
      <w:r>
        <w:t xml:space="preserve">dokonywanie systematycznych przeglądów (audytów) danych. </w:t>
      </w:r>
    </w:p>
    <w:p w:rsidR="002B679A" w:rsidRDefault="002B679A">
      <w:pPr>
        <w:jc w:val="left"/>
        <w:rPr>
          <w:rFonts w:asciiTheme="majorHAnsi" w:eastAsiaTheme="majorEastAsia" w:hAnsiTheme="majorHAnsi" w:cstheme="majorBidi"/>
          <w:b/>
          <w:bCs/>
          <w:color w:val="366092" w:themeColor="accent1"/>
        </w:rPr>
      </w:pPr>
      <w:r>
        <w:br w:type="page"/>
      </w:r>
    </w:p>
    <w:p w:rsidR="002B679A" w:rsidRDefault="002B679A" w:rsidP="002B679A">
      <w:pPr>
        <w:pStyle w:val="Nagwek2"/>
      </w:pPr>
      <w:bookmarkStart w:id="32" w:name="_Toc384914415"/>
      <w:r>
        <w:lastRenderedPageBreak/>
        <w:t>Ocena systemu koordynacji</w:t>
      </w:r>
      <w:bookmarkEnd w:id="32"/>
      <w:r>
        <w:t xml:space="preserve"> </w:t>
      </w:r>
    </w:p>
    <w:p w:rsidR="002B679A" w:rsidRDefault="002B679A" w:rsidP="002B679A">
      <w:r>
        <w:t xml:space="preserve">W programie zawarto stosunkowo wyczerpujący opis mechanizmów koordynacji. Zaproponowane mechanizmy nie budzą kontrowersji, a ich konsekwentne stosowanie powinno przyczynić się do wzmocnienia spójności polityk publicznych, w tym szczególnie finansowanych z EFSI, realizowanych na terenie województwa podkarpackiego. W rozdziale tym dużo miejsca poświęcono kwestii koordynacji RPO z innymi instrumentami. Bardziej szczegółowo opisano kwestie koordynacji RPO WP 2014-2020 z Programem Operacyjnego Polski Wschodniej, co jest uzasadnione. Na etapie wdrażania wskazane jest również zwrócenie większej uwagi na zapewnienie spójności działań pomiędzy RPO WP 2014-2020 a POWER, szczególnie w tych obszarach, w których w POWER będą wypracowywane rozwiązania systemowe, wdrażane następnie na poziomie regionalnym. </w:t>
      </w:r>
    </w:p>
    <w:p w:rsidR="002B679A" w:rsidRDefault="002B679A" w:rsidP="002B679A">
      <w:r>
        <w:t xml:space="preserve">W trakcie badania szczególnie dużo uwagi poświęcono mechanizmom zapewniania komplementarności wewnątrz programu. Skupiono się na tych obszarach, w których zapewnienie komplementarności jest konieczne dla powodzenia interwencji. Dotyczy to szczególnie priorytetów inwestycyjnych w ramach CT 8-10, finansowanych z różnych funduszy. W trakcie badania zidentyfikowano obszary, w których komplementarność jest warunkiem </w:t>
      </w:r>
      <w:r>
        <w:rPr>
          <w:u w:val="single"/>
        </w:rPr>
        <w:t>koniecznym</w:t>
      </w:r>
      <w:r>
        <w:t xml:space="preserve"> dla osiągnięcia efektów programu. Dotyczy to:</w:t>
      </w:r>
    </w:p>
    <w:p w:rsidR="002B679A" w:rsidRDefault="002B679A" w:rsidP="006E6138">
      <w:pPr>
        <w:pStyle w:val="Akapitzlist"/>
        <w:numPr>
          <w:ilvl w:val="0"/>
          <w:numId w:val="40"/>
        </w:numPr>
      </w:pPr>
      <w:r>
        <w:t>rewitalizacji i projektów z zakresu aktywnej integracji (PI 9.2 i 9.4),</w:t>
      </w:r>
    </w:p>
    <w:p w:rsidR="002B679A" w:rsidRDefault="002B679A" w:rsidP="006E6138">
      <w:pPr>
        <w:pStyle w:val="Akapitzlist"/>
        <w:numPr>
          <w:ilvl w:val="0"/>
          <w:numId w:val="40"/>
        </w:numPr>
      </w:pPr>
      <w:r>
        <w:t>usług społecznych (PI 9.1 i 9.7),</w:t>
      </w:r>
    </w:p>
    <w:p w:rsidR="002B679A" w:rsidRDefault="002B679A" w:rsidP="006E6138">
      <w:pPr>
        <w:pStyle w:val="Akapitzlist"/>
        <w:numPr>
          <w:ilvl w:val="0"/>
          <w:numId w:val="40"/>
        </w:numPr>
      </w:pPr>
      <w:r>
        <w:t>edukacji (PI 10.1, 10.3, 10.3 bis i 10.4).</w:t>
      </w:r>
    </w:p>
    <w:p w:rsidR="002B679A" w:rsidRDefault="002B679A" w:rsidP="002B679A">
      <w:r>
        <w:t xml:space="preserve">W programie znalazły się zapisy, które wymuszają tą komplementarność. Przykładowo, w opisie PI 9.2 wskazano, że </w:t>
      </w:r>
      <w:r w:rsidRPr="00CB7ACA">
        <w:rPr>
          <w:i/>
        </w:rPr>
        <w:t>finansowanie infrastruktury w przedsięwzięciach dotyczących rewitalizacji musi stanowić element uzupełniający dla realizacji celów społecznych finansowanych z EFS, a wsparcie przekazywane będzie wyłącznie na projekty dotyczące kompleksowej rewitalizacji wspieranej z dwóch funduszy</w:t>
      </w:r>
      <w:r>
        <w:t xml:space="preserve">. Takie zapisy jednoznacznie wskazują, że komplementarność jest warunkiem </w:t>
      </w:r>
      <w:r>
        <w:rPr>
          <w:u w:val="single"/>
        </w:rPr>
        <w:t>koniecznym</w:t>
      </w:r>
      <w:r>
        <w:t xml:space="preserve"> dla tego typu inwestycji. Zgadzając się, że na poziomie RPO proponowane zapisy są wystarczające, istnieje potrzeba wypracowania konkretnych mechanizmów, które zapewnią adekwatność i trafność wybieranych przedsięwzięć. Kluczowe znaczenie przy wyborze będzie miała ocena całego przedsięwzięcia, uwzględniająca powiązania pomiędzy poszczególnymi jego elementami i stopień, w</w:t>
      </w:r>
      <w:r w:rsidR="002F7C58">
        <w:t> </w:t>
      </w:r>
      <w:r>
        <w:t xml:space="preserve"> jaki przyczynią się one do osiągnięcia wyznaczonego celu. Dlatego też w ocenę powinni być zaangażowani przedstawiciele różnych komórek. Ze względu na fakt, że przedsięwzięcia te powinny przede wszystkim służyć realizacji celów społecznych, koordynatorem całego procesu powinny być komórki odpowiedzialne za EFS. W trakcie badania pojawiały się dwie opcje mechanizmu wyboru.</w:t>
      </w:r>
    </w:p>
    <w:p w:rsidR="002B679A" w:rsidRDefault="002B679A">
      <w:pPr>
        <w:jc w:val="left"/>
      </w:pPr>
      <w:r>
        <w:br w:type="page"/>
      </w:r>
    </w:p>
    <w:p w:rsidR="002B679A" w:rsidRDefault="002B679A" w:rsidP="006E6138">
      <w:pPr>
        <w:pStyle w:val="Akapitzlist"/>
        <w:numPr>
          <w:ilvl w:val="0"/>
          <w:numId w:val="41"/>
        </w:numPr>
      </w:pPr>
      <w:r w:rsidRPr="00534C88">
        <w:rPr>
          <w:b/>
        </w:rPr>
        <w:lastRenderedPageBreak/>
        <w:t xml:space="preserve">Opcja 1 </w:t>
      </w:r>
      <w:r>
        <w:t xml:space="preserve">– procedura </w:t>
      </w:r>
      <w:r w:rsidRPr="00343963">
        <w:t>dwuetapowa.</w:t>
      </w:r>
      <w:r>
        <w:t xml:space="preserve"> W pierwszym etapie oceniany jest całe przedsięwzięcie, w</w:t>
      </w:r>
      <w:r w:rsidR="002F7C58">
        <w:t> </w:t>
      </w:r>
      <w:r>
        <w:t xml:space="preserve"> skład którego wchodzi zarówno projekt/y finansowany z EFS i projekt/y finansowany z</w:t>
      </w:r>
      <w:r w:rsidR="002F7C58">
        <w:t> </w:t>
      </w:r>
      <w:r>
        <w:t xml:space="preserve"> EFRR. Przedsięwzięcie oceniane jest na podstawie fiszki lub innego dokumentu, zawierającego jego całościowy opis, z wyjaśnieniem, w jaki sposób poszczególne elementy przyczynią się do osiągnięcia efektów społecznych. Opis oceniany jest wspólnie przez przedstawicieli komórek odpowiedzialnych za oba fundusze (np. w formie wspólnego panelu, komisji wyboru projektów). Po uzyskaniu pozytywnej oceny całego przedsięwzięcia, projektodawca przygotowuje wnioski o dofinansowanie, zawierające szczegółową charakterystykę projektów wchodzących w skład przedsięwzięcia. Są one oceniane przez właściwe komórki. Warunkiem uzyskania finansowania </w:t>
      </w:r>
      <w:r w:rsidRPr="00343963">
        <w:t>dla je</w:t>
      </w:r>
      <w:r w:rsidRPr="00534C88">
        <w:t>dneg</w:t>
      </w:r>
      <w:r w:rsidRPr="00343963">
        <w:t>o z projektów</w:t>
      </w:r>
      <w:r>
        <w:t xml:space="preserve"> jest uzyskanie finansowania przez drugi / pozostałe (według zasady – albo wszystkie, albo żaden). Wyjątkiem od tej zasady może być zagwarantowane dofinansowanie jednego z elementów przedsięwzięcia z innych źródeł, np. innego programu operacyjnego lub ze źródeł krajowych. Na poniższym rysunku przedstawiono schemat postępowania. </w:t>
      </w:r>
    </w:p>
    <w:p w:rsidR="002B679A" w:rsidRDefault="002B679A" w:rsidP="002B679A">
      <w:pPr>
        <w:pStyle w:val="Akapitzlist"/>
      </w:pPr>
    </w:p>
    <w:p w:rsidR="002B679A" w:rsidRDefault="002B679A" w:rsidP="006E6138">
      <w:pPr>
        <w:pStyle w:val="Akapitzlist"/>
        <w:numPr>
          <w:ilvl w:val="0"/>
          <w:numId w:val="41"/>
        </w:numPr>
      </w:pPr>
      <w:r>
        <w:rPr>
          <w:b/>
        </w:rPr>
        <w:t xml:space="preserve">Opcja 2 </w:t>
      </w:r>
      <w:r>
        <w:t xml:space="preserve">– procedura jednoetapowa. Wniosek o dofinansowanie z EFRR składany jest do właściwej komórki, która występuje o opinię na temat zgodności projektu z celami społecznymi do komórki właściwej dla EFS. Z uwzględnieniem uzyskanej opinii podejmowana jest decyzja o dofinansowaniu. </w:t>
      </w:r>
    </w:p>
    <w:p w:rsidR="002B679A" w:rsidRDefault="002B679A" w:rsidP="002B679A">
      <w:pPr>
        <w:pStyle w:val="Akapitzlist"/>
      </w:pPr>
    </w:p>
    <w:tbl>
      <w:tblPr>
        <w:tblW w:w="0" w:type="auto"/>
        <w:jc w:val="center"/>
        <w:tblLook w:val="00A0"/>
      </w:tblPr>
      <w:tblGrid>
        <w:gridCol w:w="9039"/>
      </w:tblGrid>
      <w:tr w:rsidR="002B679A" w:rsidRPr="0068041B" w:rsidTr="002B679A">
        <w:trPr>
          <w:jc w:val="center"/>
        </w:trPr>
        <w:tc>
          <w:tcPr>
            <w:tcW w:w="8854" w:type="dxa"/>
          </w:tcPr>
          <w:p w:rsidR="002B679A" w:rsidRPr="0068041B" w:rsidRDefault="002B679A" w:rsidP="002B679A">
            <w:pPr>
              <w:pStyle w:val="Legenda"/>
            </w:pPr>
            <w:r w:rsidRPr="0068041B">
              <w:t xml:space="preserve">Rysunek </w:t>
            </w:r>
            <w:r w:rsidR="001B04AC">
              <w:fldChar w:fldCharType="begin"/>
            </w:r>
            <w:r w:rsidR="008E1D74">
              <w:instrText xml:space="preserve"> SEQ Rysunek \* ARABIC </w:instrText>
            </w:r>
            <w:r w:rsidR="001B04AC">
              <w:fldChar w:fldCharType="separate"/>
            </w:r>
            <w:r w:rsidR="00832320">
              <w:rPr>
                <w:noProof/>
              </w:rPr>
              <w:t>1</w:t>
            </w:r>
            <w:r w:rsidR="001B04AC">
              <w:rPr>
                <w:noProof/>
              </w:rPr>
              <w:fldChar w:fldCharType="end"/>
            </w:r>
            <w:r w:rsidRPr="0068041B">
              <w:t xml:space="preserve">. Proponowany schemat wyboru projektów </w:t>
            </w:r>
            <w:r>
              <w:t>komplementarnych w ramach RPO WP</w:t>
            </w:r>
            <w:r w:rsidRPr="0068041B">
              <w:t xml:space="preserve"> 2014-2020</w:t>
            </w:r>
          </w:p>
        </w:tc>
      </w:tr>
      <w:tr w:rsidR="002B679A" w:rsidRPr="0068041B" w:rsidTr="002B679A">
        <w:trPr>
          <w:jc w:val="center"/>
        </w:trPr>
        <w:tc>
          <w:tcPr>
            <w:tcW w:w="8854" w:type="dxa"/>
          </w:tcPr>
          <w:p w:rsidR="002B679A" w:rsidRPr="0068041B" w:rsidRDefault="001B04AC" w:rsidP="002B679A">
            <w:pPr>
              <w:spacing w:after="0" w:line="240" w:lineRule="auto"/>
              <w:ind w:left="170"/>
            </w:pPr>
            <w:r>
              <w:rPr>
                <w:noProof/>
                <w:lang w:eastAsia="pl-PL"/>
              </w:rPr>
            </w:r>
            <w:r>
              <w:rPr>
                <w:noProof/>
                <w:lang w:eastAsia="pl-PL"/>
              </w:rPr>
              <w:pict>
                <v:group id="Canvas 23" o:spid="_x0000_s1222" editas="canvas" style="width:6in;height:252pt;mso-position-horizontal-relative:char;mso-position-vertical-relative:line" coordsize="54864,3200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">
                  <v:shape id="_x0000_s1223" type="#_x0000_t75" style="position:absolute;width:54864;height:32004;visibility:visible">
                    <v:fill o:detectmouseclick="t"/>
                    <v:path o:connecttype="none"/>
                  </v:shape>
                  <v:shape id="Text Box 26" o:spid="_x0000_s1224" type="#_x0000_t202" style="position:absolute;left:15361;top:2560;width:21951;height:37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5uMAA&#10;AADbAAAADwAAAGRycy9kb3ducmV2LnhtbERPTYvCMBC9C/sfwizsTVNlUalGkWULXhSsHjwOzdgW&#10;m0lpRu3++40geJvH+5zluneNulMXas8GxqMEFHHhbc2lgdMxG85BBUG22HgmA38UYL36GCwxtf7B&#10;B7rnUqoYwiFFA5VIm2odioochpFviSN38Z1DibArte3wEcNdoydJMtUOa44NFbb0U1FxzW/OwGyW&#10;z3+z/e40kVJ2RZZ99wmejfn67DcLUEK9vMUv99bG+WN4/hIP0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Gx5uMAAAADbAAAADwAAAAAAAAAAAAAAAACYAgAAZHJzL2Rvd25y&#10;ZXYueG1sUEsFBgAAAAAEAAQA9QAAAIUDAAAAAA==&#10;" fillcolor="#d1deee" strokeweight=".5pt">
                    <v:textbox>
                      <w:txbxContent>
                        <w:p w:rsidR="00832320" w:rsidRPr="0068041B" w:rsidRDefault="00832320" w:rsidP="002B679A">
                          <w:pPr>
                            <w:ind w:left="2131" w:hanging="2131"/>
                            <w:rPr>
                              <w:rFonts w:cs="Calibri"/>
                              <w:sz w:val="18"/>
                              <w:szCs w:val="18"/>
                            </w:rPr>
                          </w:pPr>
                          <w:r w:rsidRPr="0068041B">
                            <w:rPr>
                              <w:rFonts w:cs="Calibri"/>
                              <w:sz w:val="18"/>
                              <w:szCs w:val="18"/>
                            </w:rPr>
                            <w:t xml:space="preserve">Część miękka </w:t>
                          </w:r>
                          <w:r w:rsidRPr="0068041B">
                            <w:rPr>
                              <w:rFonts w:cs="Calibri"/>
                              <w:sz w:val="18"/>
                              <w:szCs w:val="18"/>
                            </w:rPr>
                            <w:tab/>
                            <w:t>Część twarda</w:t>
                          </w:r>
                        </w:p>
                      </w:txbxContent>
                    </v:textbox>
                  </v:shape>
                  <v:shape id="Straight Arrow Connector 27" o:spid="_x0000_s1225" type="#_x0000_t32" style="position:absolute;left:37398;top:4389;width:6036;height:9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miCr8AAADbAAAADwAAAGRycy9kb3ducmV2LnhtbERPy6rCMBDdC/5DGMGdphYVqUYRQbhy&#10;ceFj4XJIxrbYTEqTq+3fmwuCuzmc56w2ra3EkxpfOlYwGScgiLUzJecKrpf9aAHCB2SDlWNS0JGH&#10;zbrfW2Fm3ItP9DyHXMQQ9hkqKEKoMym9LsiiH7uaOHJ311gMETa5NA2+YritZJokc2mx5NhQYE27&#10;gvTj/GcVpJ2+H5KLxum8O5Wzm3sc89+rUsNBu12CCNSGr/jj/jFxfgr/v8QD5PoN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dmiCr8AAADbAAAADwAAAAAAAAAAAAAAAACh&#10;AgAAZHJzL2Rvd25yZXYueG1sUEsFBgAAAAAEAAQA+QAAAI0DAAAAAA==&#10;" strokecolor="#335a8a">
                    <v:stroke endarrow="open"/>
                  </v:shape>
                  <v:shape id="Text Box 29" o:spid="_x0000_s1226" type="#_x0000_t202" style="position:absolute;left:43982;top:1463;width:10150;height:48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MotcQA&#10;AADbAAAADwAAAGRycy9kb3ducmV2LnhtbESPQYvCMBSE74L/ITxhb5qqrEg1igpK2YusK6i3R/Ns&#10;i81LaaKt/vqNsLDHYWa+YebL1pTiQbUrLCsYDiIQxKnVBWcKjj/b/hSE88gaS8uk4EkOlotuZ46x&#10;tg1/0+PgMxEg7GJUkHtfxVK6NCeDbmAr4uBdbW3QB1lnUtfYBLgp5SiKJtJgwWEhx4o2OaW3w90o&#10;2FWT5+6zaV7n4vT1Svx6f0luUqmPXruagfDU+v/wXzvRCkZjeH8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TKLXEAAAA2wAAAA8AAAAAAAAAAAAAAAAAmAIAAGRycy9k&#10;b3ducmV2LnhtbFBLBQYAAAAABAAEAPUAAACJAwAAAAA=&#10;" fillcolor="#e5b8b7" strokeweight=".5pt">
                    <v:textbox>
                      <w:txbxContent>
                        <w:p w:rsidR="00832320" w:rsidRPr="0068041B" w:rsidRDefault="00832320" w:rsidP="002B679A">
                          <w:pPr>
                            <w:rPr>
                              <w:rFonts w:cs="Calibri"/>
                              <w:sz w:val="18"/>
                              <w:szCs w:val="18"/>
                            </w:rPr>
                          </w:pPr>
                          <w:r w:rsidRPr="0068041B">
                            <w:rPr>
                              <w:rFonts w:cs="Calibri"/>
                              <w:sz w:val="18"/>
                              <w:szCs w:val="18"/>
                            </w:rPr>
                            <w:t>Przedsięwzięcie odrzucone</w:t>
                          </w:r>
                        </w:p>
                      </w:txbxContent>
                    </v:textbox>
                  </v:shape>
                  <v:shape id="Text Box 30" o:spid="_x0000_s1227" type="#_x0000_t202" style="position:absolute;left:15361;width:22037;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yYI8MA&#10;AADbAAAADwAAAGRycy9kb3ducmV2LnhtbESP0YrCMBRE34X9h3AXfNPUrohU0yKCuotPVj/g0lzb&#10;YnNTm6xWv36zIPg4zMwZZpn1phE36lxtWcFkHIEgLqyuuVRwOm5GcxDOI2tsLJOCBznI0o/BEhNt&#10;73ygW+5LESDsElRQed8mUrqiIoNubFvi4J1tZ9AH2ZVSd3gPcNPIOIpm0mDNYaHCltYVFZf81yhY&#10;7b92+Q/hfDubPndXvTnKePtUavjZrxYgPPX+HX61v7WCeAr/X8IPkO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yYI8MAAADbAAAADwAAAAAAAAAAAAAAAACYAgAAZHJzL2Rv&#10;d25yZXYueG1sUEsFBgAAAAAEAAQA9QAAAIgDAAAAAA==&#10;" fillcolor="#e5dfec" strokeweight=".5pt">
                    <v:textbox>
                      <w:txbxContent>
                        <w:p w:rsidR="00832320" w:rsidRPr="0068041B" w:rsidRDefault="00832320" w:rsidP="002B679A">
                          <w:pPr>
                            <w:jc w:val="center"/>
                            <w:rPr>
                              <w:rFonts w:cs="Calibri"/>
                              <w:sz w:val="18"/>
                              <w:szCs w:val="18"/>
                            </w:rPr>
                          </w:pPr>
                          <w:r w:rsidRPr="0068041B">
                            <w:rPr>
                              <w:rFonts w:cs="Calibri"/>
                              <w:sz w:val="18"/>
                              <w:szCs w:val="18"/>
                            </w:rPr>
                            <w:t>Fiszka przedsięwzięcia</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1" o:spid="_x0000_s1228" type="#_x0000_t34" style="position:absolute;left:17304;top:7796;width:10517;height:7544;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N2gcIAAADbAAAADwAAAGRycy9kb3ducmV2LnhtbESPT4vCMBTE78J+h/CEvWlqDyLVtEhB&#10;WLyIfw4en8mzLTYvJYna/fabhYU9DjPzG2ZTjbYXL/Khc6xgMc9AEGtnOm4UXM672QpEiMgGe8ek&#10;4JsCVOXHZIOFcW8+0usUG5EgHApU0MY4FFIG3ZLFMHcDcfLuzluMSfpGGo/vBLe9zLNsKS12nBZa&#10;HKhuST9OT6ug3usL3W6HeNb7O9VHX18p75T6nI7bNYhIY/wP/7W/jIJ8Cb9f0g+Q5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7N2gcIAAADbAAAADwAAAAAAAAAAAAAA&#10;AAChAgAAZHJzL2Rvd25yZXYueG1sUEsFBgAAAAAEAAQA+QAAAJADAAAAAA==&#10;" strokecolor="#335a8a">
                    <v:stroke endarrow="open"/>
                  </v:shape>
                  <v:shape id="Text Box 32" o:spid="_x0000_s1229" type="#_x0000_t202" style="position:absolute;left:14081;top:16642;width:10973;height:50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O6sMA&#10;AADbAAAADwAAAGRycy9kb3ducmV2LnhtbESPQWvCQBSE7wX/w/IEb3XTII1EVyliwIuFRg8eH9nX&#10;JDT7NmSfGv+9Wyj0OMzMN8x6O7pO3WgIrWcDb/MEFHHlbcu1gfOpeF2CCoJssfNMBh4UYLuZvKwx&#10;t/7OX3QrpVYRwiFHA41In2sdqoYchrnviaP37QeHEuVQazvgPcJdp9MkedcOW44LDfa0a6j6Ka/O&#10;QJaVy33xeTynUsuxKorFmODFmNl0/FiBEhrlP/zXPlgDaQa/X+IP0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WO6sMAAADbAAAADwAAAAAAAAAAAAAAAACYAgAAZHJzL2Rv&#10;d25yZXYueG1sUEsFBgAAAAAEAAQA9QAAAIgDAAAAAA==&#10;" fillcolor="#d1deee" strokeweight=".5pt">
                    <v:textbox>
                      <w:txbxContent>
                        <w:p w:rsidR="00832320" w:rsidRPr="0068041B" w:rsidRDefault="00832320" w:rsidP="002B679A">
                          <w:pPr>
                            <w:rPr>
                              <w:rFonts w:cs="Calibri"/>
                              <w:sz w:val="18"/>
                              <w:szCs w:val="18"/>
                            </w:rPr>
                          </w:pPr>
                          <w:r w:rsidRPr="0068041B">
                            <w:rPr>
                              <w:rFonts w:cs="Calibri"/>
                              <w:sz w:val="18"/>
                              <w:szCs w:val="18"/>
                            </w:rPr>
                            <w:t>Projekt finansowany z EFS</w:t>
                          </w:r>
                        </w:p>
                      </w:txbxContent>
                    </v:textbox>
                  </v:shape>
                  <v:shape id="Text Box 12" o:spid="_x0000_s1230" type="#_x0000_t202" style="position:absolute;left:30271;top:16826;width:11151;height:4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oamMAA&#10;AADbAAAADwAAAGRycy9kb3ducmV2LnhtbERPTWuDQBC9F/oflink1qyVUoPNJpQSoRcLNTnkOLhT&#10;lbqz4k7U/PvsIdDj431v94vr1URj6DwbeFknoIhrbztuDJyOxfMGVBBki71nMnClAPvd48MWc+tn&#10;/qGpkkbFEA45GmhFhlzrULfkMKz9QBy5Xz86lAjHRtsR5xjuep0myZt22HFsaHGgz5bqv+riDGRZ&#10;tTkU3+UplUbKuihelwTPxqyelo93UEKL/Ivv7i9rII1j45f4A/Tu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oamMAAAADbAAAADwAAAAAAAAAAAAAAAACYAgAAZHJzL2Rvd25y&#10;ZXYueG1sUEsFBgAAAAAEAAQA9QAAAIUDAAAAAA==&#10;" fillcolor="#d1deee" strokeweight=".5pt">
                    <v:textbox>
                      <w:txbxContent>
                        <w:p w:rsidR="00832320" w:rsidRPr="0068041B" w:rsidRDefault="00832320" w:rsidP="002B679A">
                          <w:pPr>
                            <w:pStyle w:val="NormalnyWeb"/>
                            <w:spacing w:before="0" w:beforeAutospacing="0" w:after="200" w:afterAutospacing="0" w:line="276" w:lineRule="auto"/>
                            <w:jc w:val="both"/>
                            <w:rPr>
                              <w:rFonts w:ascii="Calibri" w:hAnsi="Calibri" w:cs="Calibri"/>
                              <w:sz w:val="18"/>
                              <w:szCs w:val="18"/>
                            </w:rPr>
                          </w:pPr>
                          <w:r w:rsidRPr="0068041B">
                            <w:rPr>
                              <w:rFonts w:ascii="Calibri" w:hAnsi="Calibri" w:cs="Calibri"/>
                              <w:sz w:val="18"/>
                              <w:szCs w:val="18"/>
                            </w:rPr>
                            <w:t> Projekt finansowany z EFRR</w:t>
                          </w:r>
                        </w:p>
                      </w:txbxContent>
                    </v:textbox>
                  </v:shape>
                  <v:shape id="Straight Arrow Connector 34" o:spid="_x0000_s1231" type="#_x0000_t32" style="position:absolute;left:41605;top:19065;width:502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H6xsMAAADbAAAADwAAAGRycy9kb3ducmV2LnhtbESPQWvCQBSE7wX/w/KE3urG0AaNrkEE&#10;wVJ6iHrw+Nh9JsHs25BdNfn33UKhx2Hmm2HWxWBb8aDeN44VzGcJCGLtTMOVgvNp/7YA4QOywdYx&#10;KRjJQ7GZvKwxN+7JJT2OoRKxhH2OCuoQulxKr2uy6GeuI47e1fUWQ5R9JU2Pz1huW5kmSSYtNhwX&#10;auxoV5O+He9WQTrq62dy0viejWXzcXG37+rrrNTrdNiuQAQawn/4jz6YyC3h90v8A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0R+sbDAAAA2wAAAA8AAAAAAAAAAAAA&#10;AAAAoQIAAGRycy9kb3ducmV2LnhtbFBLBQYAAAAABAAEAPkAAACRAwAAAAA=&#10;" strokecolor="#335a8a">
                    <v:stroke endarrow="open"/>
                  </v:shape>
                  <v:shape id="Text Box 9" o:spid="_x0000_s1232" type="#_x0000_t202" style="position:absolute;left:46634;top:16643;width:8230;height:4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ggH8IA&#10;AADbAAAADwAAAGRycy9kb3ducmV2LnhtbERPy4rCMBTdC/MP4Qqzs6kOilSjzAhKcSM+YMbdpbnT&#10;Fpub0kRb/XqzEFweznu+7EwlbtS40rKCYRSDIM6sLjlXcDquB1MQziNrrCyTgjs5WC4+enNMtG15&#10;T7eDz0UIYZeggsL7OpHSZQUZdJGtiQP3bxuDPsAml7rBNoSbSo7ieCINlhwaCqxpVVB2OVyNgk09&#10;uW/Gbfv4K3+3j9T/7M7pRSr12e++ZyA8df4tfrlTreArrA9fwg+Qi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GCAfwgAAANsAAAAPAAAAAAAAAAAAAAAAAJgCAABkcnMvZG93&#10;bnJldi54bWxQSwUGAAAAAAQABAD1AAAAhwMAAAAA&#10;" fillcolor="#e5b8b7" strokeweight=".5pt">
                    <v:textbox>
                      <w:txbxContent>
                        <w:p w:rsidR="00832320" w:rsidRPr="0068041B" w:rsidRDefault="00832320" w:rsidP="002B679A">
                          <w:pPr>
                            <w:pStyle w:val="NormalnyWeb"/>
                            <w:spacing w:before="0" w:beforeAutospacing="0" w:after="200" w:afterAutospacing="0" w:line="276" w:lineRule="auto"/>
                            <w:jc w:val="both"/>
                            <w:rPr>
                              <w:rFonts w:ascii="Calibri" w:hAnsi="Calibri" w:cs="Calibri"/>
                            </w:rPr>
                          </w:pPr>
                          <w:r w:rsidRPr="0068041B">
                            <w:rPr>
                              <w:rFonts w:ascii="Calibri" w:hAnsi="Calibri" w:cs="Calibri"/>
                              <w:sz w:val="18"/>
                              <w:szCs w:val="18"/>
                            </w:rPr>
                            <w:t>Oba projekty odrzucone</w:t>
                          </w:r>
                        </w:p>
                      </w:txbxContent>
                    </v:textbox>
                  </v:shape>
                  <v:shape id="Straight Arrow Connector 37" o:spid="_x0000_s1233" type="#_x0000_t32" style="position:absolute;left:8229;top:19065;width:5852;height:4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Rs/MQAAADcAAAADwAAAGRycy9kb3ducmV2LnhtbESPQWvCQBSE7wX/w/IEb2ajodpGV6kF&#10;i/Qiie39mX0mwezbkF01/nu3IPQ4zMw3zHLdm0ZcqXO1ZQWTKAZBXFhdc6ng57Adv4FwHlljY5kU&#10;3MnBejV4WWKq7Y0zuua+FAHCLkUFlfdtKqUrKjLoItsSB+9kO4M+yK6UusNbgJtGTuN4Jg3WHBYq&#10;bOmzouKcX4yCZH50m9Pv6/RSfif73Zfd5NksU2o07D8WIDz1/j/8bO+0gvc4gb8z4Qj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FGz8xAAAANwAAAAPAAAAAAAAAAAA&#10;AAAAAKECAABkcnMvZG93bnJldi54bWxQSwUGAAAAAAQABAD5AAAAkgMAAAAA&#10;" strokecolor="#335a8a">
                    <v:stroke endarrow="open"/>
                  </v:shape>
                  <v:shape id="Text Box 9" o:spid="_x0000_s1234" type="#_x0000_t202" style="position:absolute;top:16826;width:8229;height:4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N8UA&#10;AADcAAAADwAAAGRycy9kb3ducmV2LnhtbESPQWvCQBSE74L/YXmCN91YrNjoKlpQQi9SLbTeHtln&#10;Esy+DdnVRH+9Kwg9DjPzDTNftqYUV6pdYVnBaBiBIE6tLjhT8HPYDKYgnEfWWFomBTdysFx0O3OM&#10;tW34m657n4kAYRejgtz7KpbSpTkZdENbEQfvZGuDPsg6k7rGJsBNKd+iaCINFhwWcqzoM6f0vL8Y&#10;Bdtqctu+N839r/j9uid+vTsmZ6lUv9euZiA8tf4//GonWsFHNIbn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8X43xQAAANwAAAAPAAAAAAAAAAAAAAAAAJgCAABkcnMv&#10;ZG93bnJldi54bWxQSwUGAAAAAAQABAD1AAAAigMAAAAA&#10;" fillcolor="#e5b8b7" strokeweight=".5pt">
                    <v:textbox>
                      <w:txbxContent>
                        <w:p w:rsidR="00832320" w:rsidRPr="0068041B" w:rsidRDefault="00832320" w:rsidP="002B679A">
                          <w:pPr>
                            <w:pStyle w:val="NormalnyWeb"/>
                            <w:spacing w:before="0" w:beforeAutospacing="0" w:after="200" w:afterAutospacing="0" w:line="276" w:lineRule="auto"/>
                            <w:jc w:val="both"/>
                            <w:rPr>
                              <w:rFonts w:ascii="Calibri" w:hAnsi="Calibri" w:cs="Calibri"/>
                            </w:rPr>
                          </w:pPr>
                          <w:r w:rsidRPr="0068041B">
                            <w:rPr>
                              <w:rFonts w:ascii="Calibri" w:hAnsi="Calibri" w:cs="Calibri"/>
                              <w:sz w:val="18"/>
                              <w:szCs w:val="18"/>
                            </w:rPr>
                            <w:t>Oba projekty odrzucone</w:t>
                          </w:r>
                        </w:p>
                      </w:txbxContent>
                    </v:textbox>
                  </v:shape>
                  <v:shape id="Straight Arrow Connector 51" o:spid="_x0000_s1235" type="#_x0000_t32" style="position:absolute;left:19568;top:21671;width:0;height:502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v6QcQAAADcAAAADwAAAGRycy9kb3ducmV2LnhtbESPT4vCMBTE78J+h/AW9qbJyiraNYoI&#10;wi7iwT8Hj4/k2Rabl9JEbb+9EQSPw8z8hpktWleJGzWh9Kzhe6BAEBtvS841HA/r/gREiMgWK8+k&#10;oaMAi/lHb4aZ9Xfe0W0fc5EgHDLUUMRYZ1IGU5DDMPA1cfLOvnEYk2xyaRu8J7ir5FCpsXRYcloo&#10;sKZVQeayvzoNw86c/9XB4M+425Wjk79s881R66/PdvkLIlIb3+FX+89qmKoRPM+kI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2/pBxAAAANwAAAAPAAAAAAAAAAAA&#10;AAAAAKECAABkcnMvZG93bnJldi54bWxQSwUGAAAAAAQABAD5AAAAkgMAAAAA&#10;" strokecolor="#335a8a">
                    <v:stroke endarrow="open"/>
                  </v:shape>
                  <v:shape id="Straight Arrow Connector 52" o:spid="_x0000_s1236" type="#_x0000_t32" style="position:absolute;left:36029;top:21671;width:0;height:512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lkNsQAAADcAAAADwAAAGRycy9kb3ducmV2LnhtbESPQWsCMRSE74X+h/CE3mqitEu7NUoR&#10;BKV4cPXQ4yN57i5uXpZN1N1/bwTB4zAz3zCzRe8acaEu1J41TMYKBLHxtuZSw2G/ev8CESKyxcYz&#10;aRgowGL++jLD3Por7+hSxFIkCIccNVQxtrmUwVTkMIx9S5y8o+8cxiS7UtoOrwnuGjlVKpMOa04L&#10;Fba0rMicirPTMB3McaP2Bj+yYVd//vvTtvw7aP026n9/QETq4zP8aK+thm+Vwf1MOgJ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CWQ2xAAAANwAAAAPAAAAAAAAAAAA&#10;AAAAAKECAABkcnMvZG93bnJldi54bWxQSwUGAAAAAAQABAD5AAAAkgMAAAAA&#10;" strokecolor="#335a8a">
                    <v:stroke endarrow="open"/>
                  </v:shape>
                  <v:shape id="Text Box 12" o:spid="_x0000_s1237" type="#_x0000_t202" style="position:absolute;left:14081;top:26700;width:10973;height:4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lKxMUA&#10;AADcAAAADwAAAGRycy9kb3ducmV2LnhtbESPQWsCMRSE74X+h/AK3mrWQq3dGkUKUhVbqNX76+a5&#10;Wdy8rElc139vhEKPw8x8w4ynna1FSz5UjhUM+hkI4sLpiksF25/54whEiMgaa8ek4EIBppP7uzHm&#10;2p35m9pNLEWCcMhRgYmxyaUMhSGLoe8a4uTtnbcYk/Sl1B7PCW5r+ZRlQ2mx4rRgsKF3Q8Vhc7IK&#10;1kfz1S4HH5edXK9G5D/l77PbK9V76GZvICJ18T/8115oBa/ZC9zOpCMgJ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GUrExQAAANwAAAAPAAAAAAAAAAAAAAAAAJgCAABkcnMv&#10;ZG93bnJldi54bWxQSwUGAAAAAAQABAD1AAAAigMAAAAA&#10;" fillcolor="#9bbb59" strokeweight=".5pt">
                    <v:textbox>
                      <w:txbxContent>
                        <w:p w:rsidR="00832320" w:rsidRPr="0068041B" w:rsidRDefault="00832320" w:rsidP="002B679A">
                          <w:pPr>
                            <w:pStyle w:val="NormalnyWeb"/>
                            <w:spacing w:before="0" w:beforeAutospacing="0" w:after="200" w:afterAutospacing="0" w:line="276" w:lineRule="auto"/>
                            <w:jc w:val="both"/>
                            <w:rPr>
                              <w:rFonts w:ascii="Calibri" w:hAnsi="Calibri" w:cs="Calibri"/>
                            </w:rPr>
                          </w:pPr>
                          <w:r w:rsidRPr="0068041B">
                            <w:rPr>
                              <w:rFonts w:ascii="Calibri" w:hAnsi="Calibri" w:cs="Calibri"/>
                              <w:sz w:val="18"/>
                              <w:szCs w:val="18"/>
                            </w:rPr>
                            <w:t xml:space="preserve">Umowa o dofinansowanie </w:t>
                          </w:r>
                        </w:p>
                      </w:txbxContent>
                    </v:textbox>
                  </v:shape>
                  <v:shape id="Text Box 12" o:spid="_x0000_s1238" type="#_x0000_t202" style="position:absolute;left:30334;top:26883;width:10973;height:4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betsEA&#10;AADcAAAADwAAAGRycy9kb3ducmV2LnhtbERPy2oCMRTdC/5DuEJ3mlFo0alRRJA+0EK13d9OrpPB&#10;yc2YpOP492YhuDyc93zZ2Vq05EPlWMF4lIEgLpyuuFTwc9gMpyBCRNZYOyYFVwqwXPR7c8y1u/A3&#10;tftYihTCIUcFJsYmlzIUhiyGkWuIE3d03mJM0JdSe7ykcFvLSZa9SIsVpwaDDa0NFaf9v1WwPZuv&#10;9mP8dv2V288p+Z38e3ZHpZ4G3eoVRKQuPsR397tWMMvS2nQmHQG5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G3rbBAAAA3AAAAA8AAAAAAAAAAAAAAAAAmAIAAGRycy9kb3du&#10;cmV2LnhtbFBLBQYAAAAABAAEAPUAAACGAwAAAAA=&#10;" fillcolor="#9bbb59" strokeweight=".5pt">
                    <v:textbox>
                      <w:txbxContent>
                        <w:p w:rsidR="00832320" w:rsidRPr="0068041B" w:rsidRDefault="00832320" w:rsidP="002B679A">
                          <w:pPr>
                            <w:pStyle w:val="NormalnyWeb"/>
                            <w:spacing w:before="0" w:beforeAutospacing="0" w:after="200" w:afterAutospacing="0" w:line="276" w:lineRule="auto"/>
                            <w:jc w:val="both"/>
                            <w:rPr>
                              <w:rFonts w:ascii="Calibri" w:hAnsi="Calibri" w:cs="Calibri"/>
                            </w:rPr>
                          </w:pPr>
                          <w:r w:rsidRPr="0068041B">
                            <w:rPr>
                              <w:rFonts w:ascii="Calibri" w:hAnsi="Calibri" w:cs="Calibri"/>
                              <w:sz w:val="18"/>
                              <w:szCs w:val="18"/>
                            </w:rPr>
                            <w:t xml:space="preserve">Umowa o dofinansowanie </w:t>
                          </w:r>
                        </w:p>
                      </w:txbxContent>
                    </v:textbox>
                  </v:shape>
                  <v:shape id="Text Box 8" o:spid="_x0000_s1239" type="#_x0000_t202" style="position:absolute;left:28500;top:7194;width:3562;height:30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7hFcEA&#10;AADcAAAADwAAAGRycy9kb3ducmV2LnhtbESPQYvCMBSE78L+h/AWvGm6CqK1qayCIN7UXrw9mmdb&#10;bF5KEm3992ZhweMwM98w2WYwrXiS841lBT/TBARxaXXDlYLisp8sQfiArLG1TApe5GGTf40yTLXt&#10;+UTPc6hEhLBPUUEdQpdK6cuaDPqp7Yijd7POYIjSVVI77CPctHKWJAtpsOG4UGNHu5rK+/lhFBwW&#10;23ClQh/1fDa3fSFLd2u9UuPv4XcNItAQPuH/9kErWCUr+DsTj4DM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e4RXBAAAA3AAAAA8AAAAAAAAAAAAAAAAAmAIAAGRycy9kb3du&#10;cmV2LnhtbFBLBQYAAAAABAAEAPUAAACGAwAAAAA=&#10;" strokeweight=".5pt">
                    <v:textbox>
                      <w:txbxContent>
                        <w:p w:rsidR="00832320" w:rsidRPr="0068041B" w:rsidRDefault="00832320" w:rsidP="002B679A">
                          <w:pPr>
                            <w:rPr>
                              <w:rFonts w:cs="Calibri"/>
                            </w:rPr>
                          </w:pPr>
                          <w:r>
                            <w:rPr>
                              <w:rFonts w:cs="Calibri"/>
                              <w:noProof/>
                              <w:lang w:eastAsia="pl-PL"/>
                            </w:rPr>
                            <w:drawing>
                              <wp:inline distT="0" distB="0" distL="0" distR="0">
                                <wp:extent cx="146685" cy="146685"/>
                                <wp:effectExtent l="0" t="0" r="5715" b="5715"/>
                                <wp:docPr id="91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85" cy="146685"/>
                                        </a:xfrm>
                                        <a:prstGeom prst="rect">
                                          <a:avLst/>
                                        </a:prstGeom>
                                        <a:noFill/>
                                        <a:ln>
                                          <a:noFill/>
                                        </a:ln>
                                      </pic:spPr>
                                    </pic:pic>
                                  </a:graphicData>
                                </a:graphic>
                              </wp:inline>
                            </w:drawing>
                          </w:r>
                        </w:p>
                      </w:txbxContent>
                    </v:textbox>
                  </v:shape>
                  <v:shapetype id="_x0000_t33" coordsize="21600,21600" o:spt="33" o:oned="t" path="m,l21600,r,21600e" filled="f">
                    <v:stroke joinstyle="miter"/>
                    <v:path arrowok="t" fillok="f" o:connecttype="none"/>
                    <o:lock v:ext="edit" shapetype="t"/>
                  </v:shapetype>
                  <v:shape id="Elbow Connector 515" o:spid="_x0000_s1240" type="#_x0000_t33" style="position:absolute;left:26337;top:11704;width:9510;height:5122;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YdDMEAAADcAAAADwAAAGRycy9kb3ducmV2LnhtbERPTYvCMBC9C/6HMIIX0dQedrWaFhEE&#10;8bCwKp6HZmyLzaQ2UVt/vTks7PHxvtdZZ2rxpNZVlhXMZxEI4tzqigsF59NuugDhPLLG2jIp6MlB&#10;lg4Ha0y0ffEvPY++ECGEXYIKSu+bREqXl2TQzWxDHLirbQ36ANtC6hZfIdzUMo6iL2mw4tBQYkPb&#10;kvLb8WEUxMXhUl/8/b2p+veu55+YviexUuNRt1mB8NT5f/Gfe68VLOdhfjgTjoBM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Nh0MwQAAANwAAAAPAAAAAAAAAAAAAAAA&#10;AKECAABkcnMvZG93bnJldi54bWxQSwUGAAAAAAQABAD5AAAAjwMAAAAA&#10;" strokecolor="#335a8a">
                    <v:stroke endarrow="open"/>
                  </v:shape>
                  <v:shape id="Picture 516" o:spid="_x0000_s1241" type="#_x0000_t75" style="position:absolute;left:9755;top:15670;width:3619;height:314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vLqnFAAAA3AAAAA8AAABkcnMvZG93bnJldi54bWxEj9FqwkAURN+F/sNyC33TTVoQG13FCm0V&#10;4oOpH3DJXpNo9m7IbmP0611B8HGYmTPMbNGbWnTUusqygngUgSDOra64ULD/+x5OQDiPrLG2TAou&#10;5GAxfxnMMNH2zDvqMl+IAGGXoILS+yaR0uUlGXQj2xAH72Bbgz7ItpC6xXOAm1q+R9FYGqw4LJTY&#10;0Kqk/JT9GwX11zHOfg/bn425fqyul2VquzRV6u21X05BeOr9M/xor7WCzziG+5lwBOT8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by6pxQAAANwAAAAPAAAAAAAAAAAAAAAA&#10;AJ8CAABkcnMvZG93bnJldi54bWxQSwUGAAAAAAQABAD3AAAAkQMAAAAA&#10;">
                    <v:imagedata r:id="rId71" o:title=""/>
                    <v:path arrowok="t"/>
                  </v:shape>
                  <v:shape id="Picture 517" o:spid="_x0000_s1242" type="#_x0000_t75" style="position:absolute;left:42156;top:15150;width:3619;height:314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9sN7FAAAA3AAAAA8AAABkcnMvZG93bnJldi54bWxEj9FqwkAURN8L/sNyBd/qJgqlRldRodpC&#10;fDD6AZfsNYlm74bsNka/vlso9HGYmTPMYtWbWnTUusqygngcgSDOra64UHA+fby+g3AeWWNtmRQ8&#10;yMFqOXhZYKLtnY/UZb4QAcIuQQWl900ipctLMujGtiEO3sW2Bn2QbSF1i/cAN7WcRNGbNFhxWCix&#10;oW1J+S37NgrqzTXO9pfD7ss8p9vnY53aLk2VGg379RyEp97/h//an1rBLJ7A75lwBOTy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vbDexQAAANwAAAAPAAAAAAAAAAAAAAAA&#10;AJ8CAABkcnMvZG93bnJldi54bWxQSwUGAAAAAAQABAD3AAAAkQMAAAAA&#10;">
                    <v:imagedata r:id="rId71" o:title=""/>
                    <v:path arrowok="t"/>
                  </v:shape>
                  <v:shape id="Picture 518" o:spid="_x0000_s1243" type="#_x0000_t75" style="position:absolute;left:37312;top:22733;width:3620;height:314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VmlfEAAAA3AAAAA8AAABkcnMvZG93bnJldi54bWxEj0GLwjAUhO/C/ofwFryIpq4o2jWKKyx4&#10;8GLrD3g0b5ti81KaWKu/fiMIHoeZ+YZZb3tbi45aXzlWMJ0kIIgLpysuFZzz3/EShA/IGmvHpOBO&#10;Hrabj8EaU+1ufKIuC6WIEPYpKjAhNKmUvjBk0U9cQxy9P9daDFG2pdQt3iLc1vIrSRbSYsVxwWBD&#10;e0PFJbtaBdf7KLlkj0xLs+tGe5f/HOf6pNTws999gwjUh3f41T5oBavpDJ5n4hGQm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VmlfEAAAA3AAAAA8AAAAAAAAAAAAAAAAA&#10;nwIAAGRycy9kb3ducmV2LnhtbFBLBQYAAAAABAAEAPcAAACQAwAAAAA=&#10;">
                    <v:imagedata r:id="rId72" o:title=""/>
                    <v:path arrowok="t"/>
                  </v:shape>
                  <v:shape id="Picture 519" o:spid="_x0000_s1244" type="#_x0000_t75" style="position:absolute;left:20880;top:22892;width:3620;height:298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iOc/FAAAA3AAAAA8AAABkcnMvZG93bnJldi54bWxEj8FqwzAQRO+B/oPYQi+hkVOoad0owTUU&#10;esjFTj5gsbaWibUyluzY/foqUMhxmJk3zO4w205MNPjWsYLtJgFBXDvdcqPgfPp6fgPhA7LGzjEp&#10;WMjDYf+w2mGm3ZVLmqrQiAhhn6ECE0KfSelrQxb9xvXE0ftxg8UQ5dBIPeA1wm0nX5IklRZbjgsG&#10;eyoM1ZdqtArGZZ1cqt9KS5NP68KdPo+vulTq6XHOP0AEmsM9/N/+1gretynczsQjIP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IjnPxQAAANwAAAAPAAAAAAAAAAAAAAAA&#10;AJ8CAABkcnMvZG93bnJldi54bWxQSwUGAAAAAAQABAD3AAAAkQMAAAAA&#10;">
                    <v:imagedata r:id="rId72" o:title=""/>
                    <v:path arrowok="t"/>
                  </v:shape>
                  <v:shape id="Picture 29" o:spid="_x0000_s1245" type="#_x0000_t75" style="position:absolute;left:38542;top:592;width:3614;height:313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LPZvEAAAA3AAAAA8AAABkcnMvZG93bnJldi54bWxEj09rwkAUxO9Cv8PyCr2ZjTn4J3WVIBhy&#10;rFbx+pp9JsHs27C7avrtu4VCj8PM/IZZb0fTiwc531lWMEtSEMS11R03Ck6f++kShA/IGnvLpOCb&#10;PGw3L5M15to++UCPY2hEhLDPUUEbwpBL6euWDPrEDsTRu1pnMETpGqkdPiPc9DJL07k02HFcaHGg&#10;XUv17Xg3CvZV9XE2hVxm7lKWNi2L7GveKPX2OhbvIAKN4T/81660gtVsAb9n4hGQm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bLPZvEAAAA3AAAAA8AAAAAAAAAAAAAAAAA&#10;nwIAAGRycy9kb3ducmV2LnhtbFBLBQYAAAAABAAEAPcAAACQAwAAAAA=&#10;">
                    <v:imagedata r:id="rId71" o:title=""/>
                  </v:shape>
                  <w10:wrap type="none"/>
                  <w10:anchorlock/>
                </v:group>
              </w:pict>
            </w:r>
          </w:p>
        </w:tc>
      </w:tr>
      <w:tr w:rsidR="002B679A" w:rsidRPr="0068041B" w:rsidTr="002B679A">
        <w:trPr>
          <w:jc w:val="center"/>
        </w:trPr>
        <w:tc>
          <w:tcPr>
            <w:tcW w:w="8854" w:type="dxa"/>
          </w:tcPr>
          <w:p w:rsidR="002B679A" w:rsidRPr="0068041B" w:rsidRDefault="002B679A" w:rsidP="002B679A">
            <w:pPr>
              <w:keepNext/>
              <w:spacing w:after="0" w:line="240" w:lineRule="auto"/>
              <w:jc w:val="center"/>
            </w:pPr>
            <w:r w:rsidRPr="0068041B">
              <w:rPr>
                <w:i/>
                <w:sz w:val="20"/>
              </w:rPr>
              <w:t>Źródło: Opracowanie własne</w:t>
            </w:r>
          </w:p>
        </w:tc>
      </w:tr>
    </w:tbl>
    <w:p w:rsidR="002B679A" w:rsidRDefault="002B679A" w:rsidP="002B679A"/>
    <w:p w:rsidR="002B679A" w:rsidRDefault="002B679A" w:rsidP="002B679A">
      <w:r>
        <w:t>Każda z opcji ma swoje mocne i słabe strony. Ich podsumowanie zawarto w poniższej tabeli.</w:t>
      </w:r>
    </w:p>
    <w:p w:rsidR="002B679A" w:rsidRDefault="002B679A" w:rsidP="002B679A">
      <w:r>
        <w:br w:type="page"/>
      </w:r>
    </w:p>
    <w:p w:rsidR="002B679A" w:rsidRDefault="002B679A" w:rsidP="002B679A">
      <w:pPr>
        <w:pStyle w:val="Legenda"/>
      </w:pPr>
      <w:r>
        <w:lastRenderedPageBreak/>
        <w:t xml:space="preserve">Tabela </w:t>
      </w:r>
      <w:r w:rsidR="001B04AC">
        <w:fldChar w:fldCharType="begin"/>
      </w:r>
      <w:r w:rsidR="008E1D74">
        <w:instrText xml:space="preserve"> SEQ Tabela \* ARABIC </w:instrText>
      </w:r>
      <w:r w:rsidR="001B04AC">
        <w:fldChar w:fldCharType="separate"/>
      </w:r>
      <w:r w:rsidR="00832320">
        <w:rPr>
          <w:noProof/>
        </w:rPr>
        <w:t>35</w:t>
      </w:r>
      <w:r w:rsidR="001B04AC">
        <w:rPr>
          <w:noProof/>
        </w:rPr>
        <w:fldChar w:fldCharType="end"/>
      </w:r>
      <w:r>
        <w:t>. Porównanie mocnych i słabych stron dwóch opcji wyboru projektów komplementarnych</w:t>
      </w:r>
    </w:p>
    <w:tbl>
      <w:tblPr>
        <w:tblStyle w:val="Tabela-Siatka"/>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tblPr>
      <w:tblGrid>
        <w:gridCol w:w="959"/>
        <w:gridCol w:w="4009"/>
        <w:gridCol w:w="4318"/>
      </w:tblGrid>
      <w:tr w:rsidR="002B679A" w:rsidRPr="002B679A" w:rsidTr="002B679A">
        <w:tc>
          <w:tcPr>
            <w:tcW w:w="959" w:type="dxa"/>
            <w:shd w:val="clear" w:color="auto" w:fill="366092" w:themeFill="accent1"/>
          </w:tcPr>
          <w:p w:rsidR="002B679A" w:rsidRPr="002B679A" w:rsidRDefault="002B679A" w:rsidP="002B679A">
            <w:pPr>
              <w:spacing w:before="120" w:after="120"/>
              <w:jc w:val="center"/>
              <w:rPr>
                <w:b/>
                <w:color w:val="FFFFFF" w:themeColor="background1"/>
                <w:sz w:val="20"/>
                <w:szCs w:val="18"/>
              </w:rPr>
            </w:pPr>
          </w:p>
        </w:tc>
        <w:tc>
          <w:tcPr>
            <w:tcW w:w="4009" w:type="dxa"/>
            <w:shd w:val="clear" w:color="auto" w:fill="366092" w:themeFill="accent1"/>
          </w:tcPr>
          <w:p w:rsidR="002B679A" w:rsidRPr="002B679A" w:rsidRDefault="002B679A" w:rsidP="002B679A">
            <w:pPr>
              <w:spacing w:before="120" w:after="120"/>
              <w:jc w:val="center"/>
              <w:rPr>
                <w:b/>
                <w:color w:val="FFFFFF" w:themeColor="background1"/>
                <w:sz w:val="20"/>
                <w:szCs w:val="18"/>
              </w:rPr>
            </w:pPr>
            <w:r w:rsidRPr="002B679A">
              <w:rPr>
                <w:b/>
                <w:color w:val="FFFFFF" w:themeColor="background1"/>
                <w:sz w:val="20"/>
                <w:szCs w:val="18"/>
              </w:rPr>
              <w:t>opcja 1</w:t>
            </w:r>
          </w:p>
        </w:tc>
        <w:tc>
          <w:tcPr>
            <w:tcW w:w="4318" w:type="dxa"/>
            <w:shd w:val="clear" w:color="auto" w:fill="366092" w:themeFill="accent1"/>
          </w:tcPr>
          <w:p w:rsidR="002B679A" w:rsidRPr="002B679A" w:rsidRDefault="002B679A" w:rsidP="002B679A">
            <w:pPr>
              <w:spacing w:before="120" w:after="120"/>
              <w:jc w:val="center"/>
              <w:rPr>
                <w:b/>
                <w:color w:val="FFFFFF" w:themeColor="background1"/>
                <w:sz w:val="20"/>
                <w:szCs w:val="18"/>
              </w:rPr>
            </w:pPr>
            <w:r w:rsidRPr="002B679A">
              <w:rPr>
                <w:b/>
                <w:color w:val="FFFFFF" w:themeColor="background1"/>
                <w:sz w:val="20"/>
                <w:szCs w:val="18"/>
              </w:rPr>
              <w:t>opcja 2</w:t>
            </w:r>
          </w:p>
        </w:tc>
      </w:tr>
      <w:tr w:rsidR="002B679A" w:rsidRPr="00114B0C" w:rsidTr="002B679A">
        <w:tc>
          <w:tcPr>
            <w:tcW w:w="959" w:type="dxa"/>
            <w:shd w:val="clear" w:color="auto" w:fill="D9D9D9" w:themeFill="background1" w:themeFillShade="D9"/>
            <w:vAlign w:val="center"/>
          </w:tcPr>
          <w:p w:rsidR="002B679A" w:rsidRPr="002B679A" w:rsidRDefault="002B679A" w:rsidP="002B679A">
            <w:pPr>
              <w:spacing w:before="120" w:after="120"/>
              <w:jc w:val="left"/>
              <w:rPr>
                <w:sz w:val="20"/>
                <w:szCs w:val="18"/>
              </w:rPr>
            </w:pPr>
            <w:r w:rsidRPr="002B679A">
              <w:rPr>
                <w:sz w:val="20"/>
                <w:szCs w:val="18"/>
              </w:rPr>
              <w:t>Mocne strony</w:t>
            </w:r>
          </w:p>
        </w:tc>
        <w:tc>
          <w:tcPr>
            <w:tcW w:w="4009" w:type="dxa"/>
            <w:vAlign w:val="center"/>
          </w:tcPr>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Całościowa ocena przedsięwzięcia przez wszystkich interesariuszy</w:t>
            </w:r>
          </w:p>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Możliwość wypracowania wspólnego podejścia do realizacji tego typu przedsięwzięć</w:t>
            </w:r>
          </w:p>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Ograniczenie ryzyka realizacji przedsięwzięć przypadkowych</w:t>
            </w:r>
          </w:p>
        </w:tc>
        <w:tc>
          <w:tcPr>
            <w:tcW w:w="4318" w:type="dxa"/>
            <w:vAlign w:val="center"/>
          </w:tcPr>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Jasne przypisanie odpowiedzialności za cały proces</w:t>
            </w:r>
          </w:p>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Mniejsze ryzyko powstawania zbyt dużych obciążeń administracyjnych</w:t>
            </w:r>
          </w:p>
          <w:p w:rsidR="002B679A" w:rsidRPr="002B679A" w:rsidRDefault="002B679A" w:rsidP="006E6138">
            <w:pPr>
              <w:pStyle w:val="Akapitzlist"/>
              <w:numPr>
                <w:ilvl w:val="0"/>
                <w:numId w:val="42"/>
              </w:numPr>
              <w:spacing w:before="120" w:after="120"/>
              <w:jc w:val="left"/>
              <w:rPr>
                <w:sz w:val="20"/>
                <w:szCs w:val="18"/>
              </w:rPr>
            </w:pPr>
            <w:r w:rsidRPr="002B679A">
              <w:rPr>
                <w:sz w:val="20"/>
                <w:szCs w:val="18"/>
              </w:rPr>
              <w:t>Krótszy czas wyboru projektów</w:t>
            </w:r>
          </w:p>
        </w:tc>
      </w:tr>
      <w:tr w:rsidR="002B679A" w:rsidRPr="00114B0C" w:rsidTr="002B679A">
        <w:tc>
          <w:tcPr>
            <w:tcW w:w="959" w:type="dxa"/>
            <w:shd w:val="clear" w:color="auto" w:fill="D9D9D9" w:themeFill="background1" w:themeFillShade="D9"/>
            <w:vAlign w:val="center"/>
          </w:tcPr>
          <w:p w:rsidR="002B679A" w:rsidRPr="002B679A" w:rsidRDefault="002B679A" w:rsidP="002B679A">
            <w:pPr>
              <w:spacing w:before="120" w:after="120"/>
              <w:jc w:val="left"/>
              <w:rPr>
                <w:sz w:val="20"/>
                <w:szCs w:val="18"/>
              </w:rPr>
            </w:pPr>
            <w:r w:rsidRPr="002B679A">
              <w:rPr>
                <w:sz w:val="20"/>
                <w:szCs w:val="18"/>
              </w:rPr>
              <w:t>Słabe strony</w:t>
            </w:r>
          </w:p>
        </w:tc>
        <w:tc>
          <w:tcPr>
            <w:tcW w:w="4009" w:type="dxa"/>
            <w:vAlign w:val="center"/>
          </w:tcPr>
          <w:p w:rsidR="002B679A" w:rsidRPr="002B679A" w:rsidRDefault="002B679A" w:rsidP="006E6138">
            <w:pPr>
              <w:pStyle w:val="Akapitzlist"/>
              <w:numPr>
                <w:ilvl w:val="0"/>
                <w:numId w:val="44"/>
              </w:numPr>
              <w:spacing w:before="120" w:after="120"/>
              <w:jc w:val="left"/>
              <w:rPr>
                <w:sz w:val="20"/>
                <w:szCs w:val="18"/>
              </w:rPr>
            </w:pPr>
            <w:r w:rsidRPr="002B679A">
              <w:rPr>
                <w:sz w:val="20"/>
                <w:szCs w:val="18"/>
              </w:rPr>
              <w:t>Ryzyko zbyt dużego obciążenia procesem wyboru projektów i wydłużenie procedury,</w:t>
            </w:r>
          </w:p>
          <w:p w:rsidR="002B679A" w:rsidRPr="002B679A" w:rsidRDefault="002B679A" w:rsidP="006E6138">
            <w:pPr>
              <w:pStyle w:val="Akapitzlist"/>
              <w:numPr>
                <w:ilvl w:val="0"/>
                <w:numId w:val="44"/>
              </w:numPr>
              <w:spacing w:before="120" w:after="120"/>
              <w:jc w:val="left"/>
              <w:rPr>
                <w:sz w:val="20"/>
                <w:szCs w:val="18"/>
              </w:rPr>
            </w:pPr>
            <w:r w:rsidRPr="002B679A">
              <w:rPr>
                <w:sz w:val="20"/>
                <w:szCs w:val="18"/>
              </w:rPr>
              <w:t>Rozmycie odpowiedzialności za wybór przedsięwzięć w trakcie I etapu,</w:t>
            </w:r>
          </w:p>
          <w:p w:rsidR="002B679A" w:rsidRPr="002B679A" w:rsidRDefault="002B679A" w:rsidP="006E6138">
            <w:pPr>
              <w:pStyle w:val="Akapitzlist"/>
              <w:numPr>
                <w:ilvl w:val="0"/>
                <w:numId w:val="44"/>
              </w:numPr>
              <w:spacing w:before="120" w:after="120"/>
              <w:jc w:val="left"/>
              <w:rPr>
                <w:sz w:val="20"/>
                <w:szCs w:val="18"/>
              </w:rPr>
            </w:pPr>
            <w:r w:rsidRPr="002B679A">
              <w:rPr>
                <w:sz w:val="20"/>
                <w:szCs w:val="18"/>
              </w:rPr>
              <w:t>Ryzyko zablokowania dużej części alokacji na projekty komplementarne.</w:t>
            </w:r>
          </w:p>
        </w:tc>
        <w:tc>
          <w:tcPr>
            <w:tcW w:w="4318" w:type="dxa"/>
            <w:vAlign w:val="center"/>
          </w:tcPr>
          <w:p w:rsidR="002B679A" w:rsidRPr="002B679A" w:rsidRDefault="002B679A" w:rsidP="006E6138">
            <w:pPr>
              <w:pStyle w:val="Akapitzlist"/>
              <w:numPr>
                <w:ilvl w:val="0"/>
                <w:numId w:val="43"/>
              </w:numPr>
              <w:spacing w:before="120" w:after="120"/>
              <w:jc w:val="left"/>
              <w:rPr>
                <w:sz w:val="20"/>
                <w:szCs w:val="18"/>
              </w:rPr>
            </w:pPr>
            <w:r w:rsidRPr="002B679A">
              <w:rPr>
                <w:sz w:val="20"/>
                <w:szCs w:val="18"/>
              </w:rPr>
              <w:t>Ryzyko braku komórki odpowiedzialnej za cele społeczne – EFS może traktować opiniowanie projektów bardzo formalnie, a</w:t>
            </w:r>
            <w:r w:rsidR="002F7C58">
              <w:rPr>
                <w:sz w:val="20"/>
                <w:szCs w:val="18"/>
              </w:rPr>
              <w:t> </w:t>
            </w:r>
            <w:r w:rsidRPr="002B679A">
              <w:rPr>
                <w:sz w:val="20"/>
                <w:szCs w:val="18"/>
              </w:rPr>
              <w:t xml:space="preserve"> EFRR nie będzie czuł się odpowiedzialny za tę kwestię,</w:t>
            </w:r>
          </w:p>
          <w:p w:rsidR="002B679A" w:rsidRPr="002B679A" w:rsidRDefault="002B679A" w:rsidP="006E6138">
            <w:pPr>
              <w:pStyle w:val="Akapitzlist"/>
              <w:numPr>
                <w:ilvl w:val="0"/>
                <w:numId w:val="43"/>
              </w:numPr>
              <w:spacing w:before="120" w:after="120"/>
              <w:jc w:val="left"/>
              <w:rPr>
                <w:sz w:val="20"/>
                <w:szCs w:val="18"/>
              </w:rPr>
            </w:pPr>
            <w:r w:rsidRPr="002B679A">
              <w:rPr>
                <w:sz w:val="20"/>
                <w:szCs w:val="18"/>
              </w:rPr>
              <w:t>Ryzyko traktowania projektów finansowanych z EFS instrumentalnie (są włączone, bo muszą, a nie dlatego, że jest to uzasadnione),</w:t>
            </w:r>
          </w:p>
          <w:p w:rsidR="002B679A" w:rsidRPr="002B679A" w:rsidRDefault="002B679A" w:rsidP="006E6138">
            <w:pPr>
              <w:pStyle w:val="Akapitzlist"/>
              <w:numPr>
                <w:ilvl w:val="0"/>
                <w:numId w:val="43"/>
              </w:numPr>
              <w:spacing w:before="120" w:after="120"/>
              <w:jc w:val="left"/>
              <w:rPr>
                <w:sz w:val="20"/>
                <w:szCs w:val="18"/>
              </w:rPr>
            </w:pPr>
            <w:r w:rsidRPr="002B679A">
              <w:rPr>
                <w:sz w:val="20"/>
                <w:szCs w:val="18"/>
              </w:rPr>
              <w:t>Ryzyko słabej komunikacji pomiędzy EFS i EFRR i różnic w podejściu do celów społecznych.</w:t>
            </w:r>
          </w:p>
        </w:tc>
      </w:tr>
    </w:tbl>
    <w:p w:rsidR="002B679A" w:rsidRDefault="002B679A" w:rsidP="002B679A">
      <w:pPr>
        <w:pStyle w:val="rdo"/>
      </w:pPr>
      <w:r w:rsidRPr="0068041B">
        <w:t>Źródło: Opracowanie własne</w:t>
      </w:r>
    </w:p>
    <w:p w:rsidR="002B679A" w:rsidRDefault="002B679A" w:rsidP="002B679A">
      <w:r>
        <w:t>Zdaniem ewaluatorów zdecydowanie lepszy jest model 1. Słabe strony można neutralizować, np. poprzez wprowadzenie oddzielnej alokacji na projekty komplementarne i projekty niekomplementarne (druga część uruchamiana byłaby szybciej). Kwestię zbyt dużego obciążenia pracą można rozwiązać poprzez wprowadzenie zasady, że każde przedsięwzięcie jest oceniany niezależnie przez przedstawicieli obu komórek, a następnie omawiane są tylko kwestie wątpliwe. Natomiast ryzyko rozmycia odpowiedzialności można rozwiązać poprzez nadanie całemu procesowi odpowiedniej rangi i wyznaczenie osoby na wysokim stanowisku, odpowiedzialnej za organizowanie całego procesu (być może nawet członka zarządu województwa). Proponowane rozwiązanie, jeśli zostanie prawidłowo wdrożone, może przyczynić się do ograniczenia dysfunkcji obecnego systemu (np. pozornej komplementarności). Należy jednak pamiętać, ze zarządzanie tak złożonymi przedsięwzięciami nie kończy się na etapie ich wyboru. Również w fazie ich wdrażania konieczne jest wypracowanie mechanizmów całościowego monitorowania przedsięwzięcia pod kątem jego spójności i osiągania wyznaczonych celów. Może to się odbywać poprzez coroczne, wspólne przeglądy projektów, do udziału w których zaproszeni zostaną kluczowi interesariusze.</w:t>
      </w:r>
    </w:p>
    <w:p w:rsidR="002B679A" w:rsidRDefault="002B679A" w:rsidP="002B679A">
      <w:r>
        <w:t xml:space="preserve">Drugim zagadnieniem związanym z kwestią koordynacji był mechanizm zintegrowanych inwestycji terytorialnych. W stosunku do wcześniejszych dyskusji, toczących się w ramach badania ewaluacyjnego, widać nadal zbyt niski poziom dojrzałości koncepcji wdrażania tego instrumentu. Istnieje ryzyko, że część samorządów wykorzysta ten instrument do forsowania projektów „znaczących politycznie”, a niekoniecznie wpisujących się w zintegrowane przedsięwzięcia. Dlatego też wskazane jest możliwe szybkie określenie szczegółowych i precyzyjnych wymagań i warunków wobec przedsięwzięć zintegrowanych i konsekwentne ich stosowanie w trakcie negocjacji z władzami samorządowymi. </w:t>
      </w:r>
    </w:p>
    <w:p w:rsidR="002B679A" w:rsidRDefault="002B679A" w:rsidP="002B679A">
      <w:r>
        <w:lastRenderedPageBreak/>
        <w:t xml:space="preserve">Pojawiająca się propozycja wydzielanie kopert finansowych dla </w:t>
      </w:r>
      <w:r w:rsidRPr="00343963">
        <w:t>ZIT / R</w:t>
      </w:r>
      <w:r w:rsidRPr="001977EA">
        <w:t>I</w:t>
      </w:r>
      <w:r w:rsidRPr="00343963">
        <w:t>T</w:t>
      </w:r>
      <w:r>
        <w:t xml:space="preserve"> budzi pewne wątpliwości. Przedsięwzięcia zintegrowane będą mogły liczyć na pewne preferencje właśnie za swoją główną cechę – czyli zintegrowanie. W przypadku brak charakteru zintegrowanego trudno znaleźć merytoryczne uzasadnienie dla wydzielania alokacji dla tych obszarów. </w:t>
      </w:r>
    </w:p>
    <w:p w:rsidR="002B679A" w:rsidRDefault="002B679A" w:rsidP="002B679A">
      <w:pPr>
        <w:pStyle w:val="Nagwek2"/>
      </w:pPr>
      <w:bookmarkStart w:id="33" w:name="_Toc384914416"/>
      <w:r>
        <w:t>Ocena redukcji obciążeń administracyjnych</w:t>
      </w:r>
      <w:bookmarkEnd w:id="33"/>
    </w:p>
    <w:p w:rsidR="002B679A" w:rsidRDefault="002B679A" w:rsidP="002B679A">
      <w:pPr>
        <w:pStyle w:val="Tekstpodstawowy"/>
      </w:pPr>
      <w:r>
        <w:t>Jednym z elementów nowego podejścia do polityki spójności w nowej perspektywy finansowej jest zmniejszenie obciążeń administracyjnych dla beneficjentów. Pewne rozwiązania są wprowadzane na poziomie europejskim. Znajduje to odzwierciedlenie w dokumentach europejskich, a także w</w:t>
      </w:r>
      <w:r w:rsidR="002F7C58">
        <w:t> </w:t>
      </w:r>
      <w:r>
        <w:t xml:space="preserve"> europejskiej tablicy uproszczeń, której ostatnia wersja została opublikowana 3 marca 2014 r. (Final Simplification Scoreboard for the MFF 2014-2020 - COM(2014) 114 final). Wymienione są tam uproszczenia wprowadzone na poziomie europejskim, choć równocześnie podkreśla się wyzwania związane ze zbyt szczegółowymi regulacjami prawnymi, co w przyszłości może ograniczyć elastyczność wdrażania programów. </w:t>
      </w:r>
    </w:p>
    <w:p w:rsidR="002B679A" w:rsidRDefault="002B679A" w:rsidP="002B679A">
      <w:pPr>
        <w:pStyle w:val="Tekstpodstawowy"/>
      </w:pPr>
      <w:r>
        <w:t xml:space="preserve">W samym programie przedstawiono szereg uproszczeń, wprowadzonych na poziomie krajowym. Ze względu na hasłowe opisy trudno ocenić ich realny wpływ na ograniczenie obciążeń administracyjnych dla beneficjentów. </w:t>
      </w:r>
    </w:p>
    <w:p w:rsidR="002B679A" w:rsidRDefault="002B679A" w:rsidP="002B679A">
      <w:pPr>
        <w:pStyle w:val="Tekstpodstawowy"/>
      </w:pPr>
      <w:r>
        <w:t>Z punktu widzenia beneficjentów kluczowe znaczenie ma zmniejszenie obciążeń administracyjnych na poziomie programu operacyjnego. W programie proponuje się dwa kierunki działań:</w:t>
      </w:r>
    </w:p>
    <w:p w:rsidR="002B679A" w:rsidRDefault="002B679A" w:rsidP="006E6138">
      <w:pPr>
        <w:pStyle w:val="Tekstpodstawowy"/>
        <w:numPr>
          <w:ilvl w:val="0"/>
          <w:numId w:val="45"/>
        </w:numPr>
      </w:pPr>
      <w:r>
        <w:t>w zakresie projektów generujących dochód - możliwie szerokie stosowanie stawek ryczałtowych, w tym także obniżenie poziomu dofinansowania w ramach osi priorytetowej po uwzględnieniu dochodowości projektów realizowanych w ramach tej osi,</w:t>
      </w:r>
    </w:p>
    <w:p w:rsidR="002B679A" w:rsidRDefault="002B679A" w:rsidP="006E6138">
      <w:pPr>
        <w:pStyle w:val="Tekstpodstawowy"/>
        <w:numPr>
          <w:ilvl w:val="0"/>
          <w:numId w:val="45"/>
        </w:numPr>
      </w:pPr>
      <w:r>
        <w:t>możliwie szerokie stosowanie form ryczałtowego finansowania w ramach programów.</w:t>
      </w:r>
    </w:p>
    <w:p w:rsidR="002B679A" w:rsidRDefault="002B679A" w:rsidP="002B679A">
      <w:pPr>
        <w:pStyle w:val="Tekstpodstawowy"/>
      </w:pPr>
      <w:r>
        <w:t xml:space="preserve">Oba rozwiązania należy ocenić pozytywnie. Należy przy tym podkreślić, że ich wprowadzenie będzie mieć również pozytywny wpływ na koszty funkcjonowania systemu wdrażania. Wydaje się jednak, że istnieją możliwości poszukiwania dalszych uproszeń i ułatwień dla beneficjentów, których wprowadzenie nie będzie zwiększać ryzyka wystąpienia nieprawidłowości, a może ułatwić realizację projektów. </w:t>
      </w:r>
    </w:p>
    <w:p w:rsidR="002B679A" w:rsidRDefault="002B679A" w:rsidP="002B679A">
      <w:pPr>
        <w:pStyle w:val="Tekstpodstawowy"/>
      </w:pPr>
      <w:r>
        <w:t>Jedną z takich kwestii jest klarowność i przystępność dokumentów dotyczących wdrażania projektów. Przykładowo, w badaniu prowadzonym w roku 2009 beneficjenci dość negatywnie ocenili zrozumiałość instrukcji wypełnienia wniosku o płatność; ich zdaniem jest ona niejasna. Zapisy w niej zawarte są często niezrozumiałe i nieprecyzyjne.</w:t>
      </w:r>
      <w:r>
        <w:rPr>
          <w:rStyle w:val="Odwoanieprzypisudolnego"/>
        </w:rPr>
        <w:footnoteReference w:id="125"/>
      </w:r>
      <w:r>
        <w:t xml:space="preserve"> Sytuacja od tego czasu mogła ulec poprawie, jednak jest to problem dotyczący wielu dokumentów powstających na potrzeby wdrażania programów operacyjnych. Pisanie jasnych, syntetycznych, klarownych i zrozumiałych instrukcji może okazać się dużo istotniejsze niż np. tworzenie sieci punktów informacyjnych. </w:t>
      </w:r>
    </w:p>
    <w:p w:rsidR="002B679A" w:rsidRDefault="002B679A" w:rsidP="002B679A">
      <w:pPr>
        <w:pStyle w:val="Tekstpodstawowy"/>
      </w:pPr>
      <w:r>
        <w:t xml:space="preserve">Z punktu widzenia projektodawców poważnym utrudnieniem jest również duża zmienność zasad realizacji programu. Przykładowo, na stronie UM WP dostępnych jest 16 wersji Szczegółowego Opisu Priorytetu RPO WP 2007-2013. Oznacza to, że dokument ten zmieniał się przeciętnie co 4,5 miesiąca. Tak duża zmienność dokumentów programowych powoduje niestabilność warunków realizacji </w:t>
      </w:r>
      <w:r>
        <w:lastRenderedPageBreak/>
        <w:t>projektów i znacznie zwiększa koszty funkcjonowania projektodawców. Dlatego też wskazane jest wprowadzenie mechanizmów, które będą przyczyniać się do ograniczenia liczby zmian, a także będą ograniczać ryzyko rozwiązań zbyt obciążających dla beneficjentów. Działania w tym zakresie mogłyby obejmować:</w:t>
      </w:r>
    </w:p>
    <w:p w:rsidR="002B679A" w:rsidRDefault="002B679A" w:rsidP="006E6138">
      <w:pPr>
        <w:pStyle w:val="Tekstpodstawowy"/>
        <w:numPr>
          <w:ilvl w:val="0"/>
          <w:numId w:val="46"/>
        </w:numPr>
      </w:pPr>
      <w:r>
        <w:t>dokonywanie okresowej (co najmniej raz na dwa lata) oceny obciążeń administracyjnych dla beneficjentów w celu identyfikacji możliwości uproszczeń i ich zmniejszenia,</w:t>
      </w:r>
    </w:p>
    <w:p w:rsidR="002B679A" w:rsidRDefault="002B679A" w:rsidP="006E6138">
      <w:pPr>
        <w:pStyle w:val="Tekstpodstawowy"/>
        <w:numPr>
          <w:ilvl w:val="0"/>
          <w:numId w:val="46"/>
        </w:numPr>
      </w:pPr>
      <w:r>
        <w:t>dokonywania oceny wpływu przyjmowanych zmian w systemie (przynajmniej tych istotniejszych) na poziom obciążeń administracyjnych beneficjentów,</w:t>
      </w:r>
    </w:p>
    <w:p w:rsidR="002B679A" w:rsidRDefault="002B679A" w:rsidP="006E6138">
      <w:pPr>
        <w:pStyle w:val="Tekstpodstawowy"/>
        <w:numPr>
          <w:ilvl w:val="0"/>
          <w:numId w:val="46"/>
        </w:numPr>
      </w:pPr>
      <w:r>
        <w:t xml:space="preserve">wprowadzenie zasady wprowadzania zmian do dokumentów programowych nie częściej niż raz do roku (np. w pierwszym kwartale każdego roku). </w:t>
      </w:r>
    </w:p>
    <w:p w:rsidR="002B679A" w:rsidRDefault="002B679A" w:rsidP="002B679A">
      <w:pPr>
        <w:pStyle w:val="Tekstpodstawowy"/>
      </w:pPr>
      <w:r>
        <w:t>Wprowadzenie powyższych zasad może wydłużyć proces podejmowania decyzji o zmianach w</w:t>
      </w:r>
      <w:r w:rsidR="002F7C58">
        <w:t> </w:t>
      </w:r>
      <w:r>
        <w:t xml:space="preserve"> dokumentach programowych i w systemie realizacji. Może to mieć jednak pozytywny wpływ na poziom obciążeń administracyjnych. Ograniczy to bowiem skłonność do stałego „udoskonalania” programu, wymusi większą rozwagę przy wprowadzeniu konkretnych rozwiązań (nie będzie można ich tak łatwo zmienić), a tym samym przyczyni się do większej stabilności i przejrzystości systemu realizacji. </w:t>
      </w:r>
    </w:p>
    <w:p w:rsidR="002B679A" w:rsidRDefault="002B679A" w:rsidP="002B679A">
      <w:pPr>
        <w:pStyle w:val="Tekstpodstawowy"/>
      </w:pPr>
      <w:r>
        <w:t>Dodatkowo, w toku prac nad systemem realizacji RPO WP 2014-2020 warto rozważyć wprowadzenie kolejnych usprawnień, które mogą obniżyć obciążenia administracyjne. Proste działania, które mogą być wprowadzone przez Instytucję Zarządzającą obejmują:</w:t>
      </w:r>
    </w:p>
    <w:p w:rsidR="002B679A" w:rsidRDefault="002B679A" w:rsidP="006E6138">
      <w:pPr>
        <w:pStyle w:val="Tekstpodstawowy"/>
        <w:numPr>
          <w:ilvl w:val="0"/>
          <w:numId w:val="47"/>
        </w:numPr>
      </w:pPr>
      <w:r w:rsidRPr="005B3610">
        <w:t>koordynacja procesów</w:t>
      </w:r>
      <w:r>
        <w:t xml:space="preserve"> kontroli – projektodawcy są kontrolowani stosunkowo często. Zdarza się, że kilka razy w ciągu roku. Lepsza koordynacja tego procesu oraz ograniczenie liczby kontroli może przyczynić się do obniżenia kosztów zarówno po stronie projektodawców, jak też systemu realizacji,</w:t>
      </w:r>
    </w:p>
    <w:p w:rsidR="002B679A" w:rsidRDefault="002B679A" w:rsidP="006E6138">
      <w:pPr>
        <w:pStyle w:val="Tekstpodstawowy"/>
        <w:numPr>
          <w:ilvl w:val="0"/>
          <w:numId w:val="47"/>
        </w:numPr>
      </w:pPr>
      <w:r>
        <w:t>wprowadzenie możliwości zaokrągleń przy rozliczaniu wniosków o płatność – często błędy we wnioskach o płatność dotyczą bardzo drobnych kwot (np. groszy). Ich wyjaśnianie i</w:t>
      </w:r>
      <w:r w:rsidR="002F7C58">
        <w:t> </w:t>
      </w:r>
      <w:r>
        <w:t xml:space="preserve"> korygowanie kosztuje zdecydowanie więcej, niż koszty ewentualnych pomyłek. </w:t>
      </w:r>
    </w:p>
    <w:p w:rsidR="002B679A" w:rsidRDefault="002B679A" w:rsidP="006E6138">
      <w:pPr>
        <w:pStyle w:val="Tekstpodstawowy"/>
        <w:numPr>
          <w:ilvl w:val="0"/>
          <w:numId w:val="47"/>
        </w:numPr>
      </w:pPr>
      <w:r>
        <w:t xml:space="preserve">Wdrożenie zasady proporcjonalności – w przypadku mniejszych projektów (dotyczy to szczególnie projektów finansowanych z Europejskiego Funduszu Społecznego), wskazane jest ograniczenie wymogów dokumentacyjnych oraz ograniczenie zakresu kontroli. </w:t>
      </w:r>
    </w:p>
    <w:p w:rsidR="002B679A" w:rsidRPr="00CA7B48" w:rsidRDefault="002B679A" w:rsidP="002B679A"/>
    <w:p w:rsidR="002B679A" w:rsidRDefault="002B679A">
      <w:pPr>
        <w:jc w:val="left"/>
      </w:pPr>
    </w:p>
    <w:p w:rsidR="002B679A" w:rsidRDefault="002B679A">
      <w:pPr>
        <w:jc w:val="left"/>
      </w:pPr>
    </w:p>
    <w:p w:rsidR="00230E9D" w:rsidRDefault="00230E9D">
      <w:pPr>
        <w:jc w:val="left"/>
        <w:rPr>
          <w:rFonts w:asciiTheme="majorHAnsi" w:eastAsiaTheme="majorEastAsia" w:hAnsiTheme="majorHAnsi" w:cstheme="majorBidi"/>
          <w:b/>
          <w:bCs/>
          <w:color w:val="28476D" w:themeColor="accent1" w:themeShade="BF"/>
          <w:sz w:val="28"/>
          <w:szCs w:val="28"/>
        </w:rPr>
      </w:pPr>
      <w:r>
        <w:br w:type="page"/>
      </w:r>
    </w:p>
    <w:p w:rsidR="00230E9D" w:rsidRDefault="00230E9D" w:rsidP="00230E9D">
      <w:pPr>
        <w:pStyle w:val="Nagwek1"/>
      </w:pPr>
      <w:bookmarkStart w:id="34" w:name="_Toc384914417"/>
      <w:r w:rsidRPr="00230E9D">
        <w:lastRenderedPageBreak/>
        <w:t>Sposób uwzględniania wyników ewaluacji w projekcie RPO WP 2014-2020</w:t>
      </w:r>
      <w:bookmarkEnd w:id="34"/>
    </w:p>
    <w:p w:rsidR="00424449" w:rsidRDefault="00424449" w:rsidP="00424449">
      <w:r w:rsidRPr="00141985">
        <w:rPr>
          <w:i/>
        </w:rPr>
        <w:t>Ewaluacja ex-ante projektu</w:t>
      </w:r>
      <w:r>
        <w:rPr>
          <w:i/>
        </w:rPr>
        <w:t xml:space="preserve"> </w:t>
      </w:r>
      <w:r w:rsidRPr="00141985">
        <w:rPr>
          <w:i/>
        </w:rPr>
        <w:t>Regionalnego Programu Operacyjnego Województwa Podkarpackiego na lata 2014-2020</w:t>
      </w:r>
      <w:r>
        <w:rPr>
          <w:i/>
        </w:rPr>
        <w:t xml:space="preserve"> </w:t>
      </w:r>
      <w:r>
        <w:t>została zrealizowana w modelu partycypacyjnym. Podczas prawie rocznej współpracy autorów programu z zespołem badawczym zgłoszono szereg roboczych opinii, które były na bieżąco uwzględniane w kolejnych wersjach programu.</w:t>
      </w:r>
    </w:p>
    <w:p w:rsidR="00424449" w:rsidRDefault="00424449" w:rsidP="006E6138">
      <w:pPr>
        <w:pStyle w:val="Akapitzlist"/>
        <w:numPr>
          <w:ilvl w:val="0"/>
          <w:numId w:val="34"/>
        </w:numPr>
        <w:spacing w:before="120"/>
        <w:ind w:left="714" w:hanging="357"/>
        <w:contextualSpacing w:val="0"/>
      </w:pPr>
      <w:r>
        <w:t xml:space="preserve">Pierwsza tura uwag dotyczyła projektu programu z lipca 2013 r. Większość rekomendacji była związana z diagnozą potrzeb rozwojowych, koncentracją tematyczną (uzasadnieniem </w:t>
      </w:r>
      <w:r w:rsidRPr="00141985">
        <w:t>wyboru</w:t>
      </w:r>
      <w:r>
        <w:t xml:space="preserve"> poszczególnych priorytetów inwestycyjnych), układem osi priorytetowych oraz ogólną logiką interwencji (sformułowanie celów i rezultatów, wybór planowanych działań). </w:t>
      </w:r>
    </w:p>
    <w:p w:rsidR="00424449" w:rsidRDefault="00424449" w:rsidP="006E6138">
      <w:pPr>
        <w:pStyle w:val="Akapitzlist"/>
        <w:numPr>
          <w:ilvl w:val="0"/>
          <w:numId w:val="34"/>
        </w:numPr>
        <w:spacing w:before="120"/>
        <w:ind w:left="714" w:hanging="357"/>
        <w:contextualSpacing w:val="0"/>
      </w:pPr>
      <w:r>
        <w:t xml:space="preserve">Druga tura uwag do wszystkich osi priorytetowych została zgłoszona po warsztatach przeprowadzonych w październiku 2013 r. Dzięki wspólnej dyskusji zespołu badawczego i autorów programu, udało się wypracować propozycje definicji celów szczegółowych w poszczególnych priorytetach inwestycyjnych, wyboru przykładowych typów projektów oraz proponowanych form wsparcia. W drugiej turze uwag przeprowadzono też wstępną ocenę doboru wskaźników programowych. </w:t>
      </w:r>
    </w:p>
    <w:p w:rsidR="00424449" w:rsidRDefault="00424449" w:rsidP="006E6138">
      <w:pPr>
        <w:pStyle w:val="Akapitzlist"/>
        <w:numPr>
          <w:ilvl w:val="0"/>
          <w:numId w:val="34"/>
        </w:numPr>
        <w:spacing w:before="120"/>
        <w:ind w:left="714" w:hanging="357"/>
        <w:contextualSpacing w:val="0"/>
      </w:pPr>
      <w:r>
        <w:t xml:space="preserve">Kolejne uwagi były zgłaszane w trybie roboczym w ramach bieżącej współpracy. Łącznie z wcześniejszymi rekomendacjami posłużyły one do opracowania pierwszej wersji raportu końcowego, który odnosił do wersji programu z listopada 2013 r. </w:t>
      </w:r>
    </w:p>
    <w:p w:rsidR="00424449" w:rsidRDefault="00424449" w:rsidP="006E6138">
      <w:pPr>
        <w:pStyle w:val="Akapitzlist"/>
        <w:numPr>
          <w:ilvl w:val="0"/>
          <w:numId w:val="34"/>
        </w:numPr>
        <w:spacing w:before="120"/>
        <w:ind w:left="714" w:hanging="357"/>
        <w:contextualSpacing w:val="0"/>
      </w:pPr>
      <w:r>
        <w:t xml:space="preserve">Współpraca w pierwszym kwartale 2014 r. obejmowała bieżące opiniowanie kolejnych wersji poszczególnych sekcji programu (diagnozy, opisu osi priorytetowych), które zmieniały się wraz z kolejnym rozstrzygnięciami na poziomie krajowym i europejskim (zmiany w linii demarkacyjnej, ostateczna wersja pakietu legislacyjnego). Ważnym elementem prac była również wspólna praca nad wskaźnikami programowymi: ich doborem, założeniom przyjętym do oszacowania wartości docelowych, a ostatecznie także na weryfikacji wstępnych obliczeń dokonanych przez autorów programu. Sformułowano także wstępne rekomendacje dotyczące systemu realizacji programu oraz planu ewaluacji RPO WP 2014-2020. </w:t>
      </w:r>
    </w:p>
    <w:p w:rsidR="00424449" w:rsidRDefault="00424449" w:rsidP="006E6138">
      <w:pPr>
        <w:pStyle w:val="Akapitzlist"/>
        <w:numPr>
          <w:ilvl w:val="0"/>
          <w:numId w:val="34"/>
        </w:numPr>
        <w:spacing w:before="120"/>
        <w:ind w:left="714" w:hanging="357"/>
        <w:contextualSpacing w:val="0"/>
      </w:pPr>
      <w:r>
        <w:t xml:space="preserve">W marcu 2014 r. opracowano opinię do uwag zgłoszonych w konsultacjach społecznych programu oraz propozycji odpowiedzi IZ na zgłoszone zastrzeżenia. </w:t>
      </w:r>
    </w:p>
    <w:p w:rsidR="00424449" w:rsidRDefault="00424449" w:rsidP="00424449">
      <w:pPr>
        <w:spacing w:after="0" w:line="240" w:lineRule="auto"/>
      </w:pPr>
      <w:r>
        <w:br w:type="page"/>
      </w:r>
    </w:p>
    <w:p w:rsidR="002A4B9A" w:rsidRPr="00EE1F82" w:rsidRDefault="002A4B9A" w:rsidP="002A4B9A">
      <w:pPr>
        <w:pStyle w:val="Nagwek2"/>
      </w:pPr>
      <w:bookmarkStart w:id="35" w:name="_Toc384914418"/>
      <w:r w:rsidRPr="002A4B9A">
        <w:lastRenderedPageBreak/>
        <w:t>Oś priorytetowa I. Konkurencyjna i innowacyjna gospodarka</w:t>
      </w:r>
      <w:bookmarkEnd w:id="35"/>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424449" w:rsidRPr="00BD4169" w:rsidTr="00424449">
        <w:tc>
          <w:tcPr>
            <w:tcW w:w="4786" w:type="dxa"/>
            <w:shd w:val="clear" w:color="auto" w:fill="366092" w:themeFill="accent1"/>
          </w:tcPr>
          <w:p w:rsidR="00424449" w:rsidRPr="0020144D" w:rsidRDefault="00424449" w:rsidP="00424449">
            <w:pPr>
              <w:spacing w:before="60" w:after="60"/>
              <w:jc w:val="center"/>
              <w:rPr>
                <w:b/>
                <w:color w:val="FFFFFF" w:themeColor="background1"/>
              </w:rPr>
            </w:pPr>
            <w:r w:rsidRPr="0020144D">
              <w:rPr>
                <w:b/>
                <w:color w:val="FFFFFF" w:themeColor="background1"/>
              </w:rPr>
              <w:t>zgłoszona rekomendacja</w:t>
            </w:r>
          </w:p>
        </w:tc>
        <w:tc>
          <w:tcPr>
            <w:tcW w:w="4426" w:type="dxa"/>
            <w:shd w:val="clear" w:color="auto" w:fill="366092" w:themeFill="accent1"/>
          </w:tcPr>
          <w:p w:rsidR="00424449" w:rsidRPr="0020144D" w:rsidRDefault="00424449" w:rsidP="00424449">
            <w:pPr>
              <w:spacing w:before="60" w:after="60"/>
              <w:jc w:val="center"/>
              <w:rPr>
                <w:b/>
                <w:color w:val="FFFFFF" w:themeColor="background1"/>
              </w:rPr>
            </w:pPr>
            <w:r w:rsidRPr="0020144D">
              <w:rPr>
                <w:b/>
                <w:color w:val="FFFFFF" w:themeColor="background1"/>
              </w:rPr>
              <w:t>sposób uwzględnienia w programie</w:t>
            </w:r>
          </w:p>
        </w:tc>
      </w:tr>
      <w:tr w:rsidR="00424449" w:rsidTr="00EE1F82">
        <w:tc>
          <w:tcPr>
            <w:tcW w:w="4786" w:type="dxa"/>
            <w:vAlign w:val="center"/>
          </w:tcPr>
          <w:p w:rsidR="00424449" w:rsidRPr="0020144D" w:rsidRDefault="00424449" w:rsidP="00EE1F82">
            <w:pPr>
              <w:spacing w:before="120" w:after="120"/>
              <w:jc w:val="center"/>
            </w:pPr>
            <w:r w:rsidRPr="0020144D">
              <w:t>Uwzględnienie w diagnozie wszystkich istotnych z punktu widzenia interwencji wątków (w szczególności w zakresie turystyki i promocji gospodarczej), rezygnacja z tez diagnostycznych w opisach OP.</w:t>
            </w:r>
          </w:p>
        </w:tc>
        <w:tc>
          <w:tcPr>
            <w:tcW w:w="4426" w:type="dxa"/>
            <w:vAlign w:val="center"/>
          </w:tcPr>
          <w:p w:rsidR="00424449" w:rsidRPr="0020144D" w:rsidRDefault="00424449" w:rsidP="00EE1F82">
            <w:pPr>
              <w:spacing w:before="60" w:after="120"/>
              <w:jc w:val="center"/>
            </w:pPr>
            <w:r w:rsidRPr="0020144D">
              <w:t>Dokonano zasadniczych zmian w diagnozie, zorganizowano ją wokół poszczególnych PI, zrezygnowano z rozbudowanych tez diagnostycznych w opisach OP.</w:t>
            </w:r>
          </w:p>
        </w:tc>
      </w:tr>
      <w:tr w:rsidR="00424449" w:rsidTr="00EE1F82">
        <w:tc>
          <w:tcPr>
            <w:tcW w:w="4786" w:type="dxa"/>
            <w:vAlign w:val="center"/>
          </w:tcPr>
          <w:p w:rsidR="00424449" w:rsidRPr="0020144D" w:rsidRDefault="00424449" w:rsidP="00EE1F82">
            <w:pPr>
              <w:spacing w:before="120" w:after="120"/>
              <w:jc w:val="center"/>
            </w:pPr>
            <w:r w:rsidRPr="0020144D">
              <w:t>Uporządkowanie podejścia do preferencji sektorowych.</w:t>
            </w:r>
          </w:p>
        </w:tc>
        <w:tc>
          <w:tcPr>
            <w:tcW w:w="4426" w:type="dxa"/>
            <w:vAlign w:val="center"/>
          </w:tcPr>
          <w:p w:rsidR="00424449" w:rsidRPr="0020144D" w:rsidRDefault="00424449" w:rsidP="00EE1F82">
            <w:pPr>
              <w:spacing w:before="60" w:after="120"/>
              <w:jc w:val="center"/>
            </w:pPr>
            <w:r w:rsidRPr="0020144D">
              <w:t>Wprowadzono jednoznaczne odniesienia do inteligentnych specjalizacji wynikających z RSI.</w:t>
            </w:r>
          </w:p>
        </w:tc>
      </w:tr>
      <w:tr w:rsidR="00424449" w:rsidTr="00EE1F82">
        <w:tc>
          <w:tcPr>
            <w:tcW w:w="4786" w:type="dxa"/>
            <w:vAlign w:val="center"/>
          </w:tcPr>
          <w:p w:rsidR="00424449" w:rsidRPr="0020144D" w:rsidRDefault="00424449" w:rsidP="00EE1F82">
            <w:pPr>
              <w:spacing w:before="120" w:after="120"/>
              <w:jc w:val="center"/>
            </w:pPr>
            <w:r w:rsidRPr="0020144D">
              <w:t>Uzasadnienie interwencji w ramach PI 1.1.</w:t>
            </w:r>
          </w:p>
        </w:tc>
        <w:tc>
          <w:tcPr>
            <w:tcW w:w="4426" w:type="dxa"/>
            <w:vAlign w:val="center"/>
          </w:tcPr>
          <w:p w:rsidR="00424449" w:rsidRPr="0020144D" w:rsidRDefault="00424449" w:rsidP="00EE1F82">
            <w:pPr>
              <w:spacing w:after="120"/>
              <w:jc w:val="center"/>
            </w:pPr>
            <w:r w:rsidRPr="0020144D">
              <w:t>Rezygnacja z wdrażania PI 1.1, przeniesienie interwencji w ramach PI 1.1 do PI 1.2.</w:t>
            </w:r>
          </w:p>
        </w:tc>
      </w:tr>
      <w:tr w:rsidR="00424449" w:rsidTr="00EE1F82">
        <w:tc>
          <w:tcPr>
            <w:tcW w:w="4786" w:type="dxa"/>
            <w:vAlign w:val="center"/>
          </w:tcPr>
          <w:p w:rsidR="00424449" w:rsidRPr="0020144D" w:rsidRDefault="00424449" w:rsidP="00EE1F82">
            <w:pPr>
              <w:spacing w:before="120" w:after="120"/>
              <w:jc w:val="center"/>
            </w:pPr>
            <w:r w:rsidRPr="0020144D">
              <w:t>Propozycje przeformułowania celu nadrzędnego OP 1. oraz celów szczegółowych poszczególnych PI.</w:t>
            </w:r>
          </w:p>
        </w:tc>
        <w:tc>
          <w:tcPr>
            <w:tcW w:w="4426" w:type="dxa"/>
            <w:vAlign w:val="center"/>
          </w:tcPr>
          <w:p w:rsidR="00424449" w:rsidRPr="0020144D" w:rsidRDefault="00424449" w:rsidP="00EE1F82">
            <w:pPr>
              <w:spacing w:before="60" w:after="120"/>
              <w:jc w:val="center"/>
            </w:pPr>
            <w:r w:rsidRPr="0020144D">
              <w:t>Uwagi w większości uwzględniono.</w:t>
            </w:r>
          </w:p>
        </w:tc>
      </w:tr>
      <w:tr w:rsidR="00424449" w:rsidTr="00EE1F82">
        <w:tc>
          <w:tcPr>
            <w:tcW w:w="4786" w:type="dxa"/>
            <w:vAlign w:val="center"/>
          </w:tcPr>
          <w:p w:rsidR="00424449" w:rsidRPr="0020144D" w:rsidRDefault="00424449" w:rsidP="00EE1F82">
            <w:pPr>
              <w:spacing w:before="120" w:after="120"/>
              <w:jc w:val="center"/>
            </w:pPr>
            <w:r w:rsidRPr="0020144D">
              <w:t>Uwzględnienie w ramach PI 3.2 projektu systemowego UM poświęconego promocji gospodarczej regionu.</w:t>
            </w:r>
          </w:p>
        </w:tc>
        <w:tc>
          <w:tcPr>
            <w:tcW w:w="4426" w:type="dxa"/>
            <w:vAlign w:val="center"/>
          </w:tcPr>
          <w:p w:rsidR="00424449" w:rsidRPr="0020144D" w:rsidRDefault="00424449" w:rsidP="00EE1F82">
            <w:pPr>
              <w:spacing w:before="60" w:after="120"/>
              <w:jc w:val="center"/>
            </w:pPr>
            <w:r w:rsidRPr="0020144D">
              <w:t>Projekt przewidziano programem.</w:t>
            </w:r>
          </w:p>
        </w:tc>
      </w:tr>
      <w:tr w:rsidR="00424449" w:rsidTr="00EE1F82">
        <w:tc>
          <w:tcPr>
            <w:tcW w:w="4786" w:type="dxa"/>
            <w:vAlign w:val="center"/>
          </w:tcPr>
          <w:p w:rsidR="00424449" w:rsidRPr="0020144D" w:rsidRDefault="00424449" w:rsidP="00EE1F82">
            <w:pPr>
              <w:spacing w:before="120" w:after="120"/>
              <w:jc w:val="center"/>
            </w:pPr>
            <w:r w:rsidRPr="0020144D">
              <w:t>Koncentracja wsparcia IOB na usługach.</w:t>
            </w:r>
          </w:p>
        </w:tc>
        <w:tc>
          <w:tcPr>
            <w:tcW w:w="4426" w:type="dxa"/>
            <w:vAlign w:val="center"/>
          </w:tcPr>
          <w:p w:rsidR="00424449" w:rsidRPr="0020144D" w:rsidRDefault="00424449" w:rsidP="00EE1F82">
            <w:pPr>
              <w:spacing w:before="60" w:after="120"/>
              <w:jc w:val="center"/>
            </w:pPr>
            <w:r w:rsidRPr="0020144D">
              <w:t>Zdefiniowanie zakresu wsparcia w PI 3.4, ograniczenie alokacji na PI 3.4, dopuszczenie finansowania IOB w wybranych zagadnieniach innych PI.</w:t>
            </w:r>
          </w:p>
        </w:tc>
      </w:tr>
      <w:tr w:rsidR="00424449" w:rsidTr="00EE1F82">
        <w:tc>
          <w:tcPr>
            <w:tcW w:w="4786" w:type="dxa"/>
            <w:vAlign w:val="center"/>
          </w:tcPr>
          <w:p w:rsidR="00424449" w:rsidRPr="0020144D" w:rsidRDefault="00424449" w:rsidP="00EE1F82">
            <w:pPr>
              <w:spacing w:before="120" w:after="120"/>
              <w:jc w:val="center"/>
            </w:pPr>
            <w:r w:rsidRPr="0020144D">
              <w:t>Demarkacja wsparcia klastrów między PI.</w:t>
            </w:r>
          </w:p>
        </w:tc>
        <w:tc>
          <w:tcPr>
            <w:tcW w:w="4426" w:type="dxa"/>
            <w:vAlign w:val="center"/>
          </w:tcPr>
          <w:p w:rsidR="00424449" w:rsidRPr="0020144D" w:rsidRDefault="00424449" w:rsidP="00EE1F82">
            <w:pPr>
              <w:spacing w:before="60" w:after="120"/>
              <w:jc w:val="center"/>
            </w:pPr>
            <w:r w:rsidRPr="0020144D">
              <w:t>Przyjęcie analogicznych rozwiązań jak w wypadku IOB.</w:t>
            </w:r>
          </w:p>
        </w:tc>
      </w:tr>
      <w:tr w:rsidR="00424449" w:rsidTr="00EE1F82">
        <w:tc>
          <w:tcPr>
            <w:tcW w:w="4786" w:type="dxa"/>
            <w:vAlign w:val="center"/>
          </w:tcPr>
          <w:p w:rsidR="00424449" w:rsidRPr="0020144D" w:rsidRDefault="00424449" w:rsidP="00EE1F82">
            <w:pPr>
              <w:spacing w:before="120" w:after="120"/>
              <w:jc w:val="center"/>
            </w:pPr>
            <w:r w:rsidRPr="0020144D">
              <w:t>Szereg rekomendacji szczegółowych dla wskaźników.</w:t>
            </w:r>
          </w:p>
        </w:tc>
        <w:tc>
          <w:tcPr>
            <w:tcW w:w="4426" w:type="dxa"/>
            <w:vAlign w:val="center"/>
          </w:tcPr>
          <w:p w:rsidR="00424449" w:rsidRPr="0020144D" w:rsidRDefault="00424449" w:rsidP="00EE1F82">
            <w:pPr>
              <w:spacing w:before="60" w:after="120"/>
              <w:jc w:val="center"/>
            </w:pPr>
            <w:r w:rsidRPr="0020144D">
              <w:t>Rekomendacje uwzględniono.</w:t>
            </w:r>
          </w:p>
        </w:tc>
      </w:tr>
      <w:tr w:rsidR="00424449" w:rsidTr="00EE1F82">
        <w:tc>
          <w:tcPr>
            <w:tcW w:w="9212" w:type="dxa"/>
            <w:gridSpan w:val="2"/>
            <w:vAlign w:val="center"/>
          </w:tcPr>
          <w:p w:rsidR="00424449" w:rsidRPr="0020144D" w:rsidRDefault="00424449" w:rsidP="00EE1F82">
            <w:pPr>
              <w:spacing w:before="120" w:after="120"/>
              <w:jc w:val="center"/>
            </w:pPr>
            <w:r w:rsidRPr="0020144D">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8B0D93" w:rsidRDefault="008B0D93" w:rsidP="00424449"/>
    <w:p w:rsidR="008B0D93" w:rsidRDefault="008B0D93">
      <w:pPr>
        <w:jc w:val="left"/>
      </w:pPr>
      <w:r>
        <w:br w:type="page"/>
      </w:r>
    </w:p>
    <w:p w:rsidR="002A4B9A" w:rsidRDefault="008B0D93" w:rsidP="008B0D93">
      <w:pPr>
        <w:pStyle w:val="Nagwek2"/>
      </w:pPr>
      <w:bookmarkStart w:id="36" w:name="_Toc384914419"/>
      <w:r w:rsidRPr="008B0D93">
        <w:lastRenderedPageBreak/>
        <w:t>Oś priorytetowa II. Cyfrowe Podkarpackie</w:t>
      </w:r>
      <w:bookmarkEnd w:id="36"/>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424449" w:rsidRPr="00BD4169" w:rsidTr="00424449">
        <w:tc>
          <w:tcPr>
            <w:tcW w:w="4786" w:type="dxa"/>
            <w:shd w:val="clear" w:color="auto" w:fill="366092" w:themeFill="accent1"/>
          </w:tcPr>
          <w:p w:rsidR="00424449" w:rsidRPr="0020144D" w:rsidRDefault="00424449" w:rsidP="00424449">
            <w:pPr>
              <w:spacing w:before="60" w:after="60"/>
              <w:jc w:val="center"/>
              <w:rPr>
                <w:b/>
                <w:color w:val="FFFFFF" w:themeColor="background1"/>
              </w:rPr>
            </w:pPr>
            <w:r w:rsidRPr="0020144D">
              <w:rPr>
                <w:b/>
                <w:color w:val="FFFFFF" w:themeColor="background1"/>
              </w:rPr>
              <w:t>zgłoszona rekomendacja</w:t>
            </w:r>
          </w:p>
        </w:tc>
        <w:tc>
          <w:tcPr>
            <w:tcW w:w="4426" w:type="dxa"/>
            <w:shd w:val="clear" w:color="auto" w:fill="366092" w:themeFill="accent1"/>
          </w:tcPr>
          <w:p w:rsidR="00424449" w:rsidRPr="00FD6ADD" w:rsidRDefault="00424449" w:rsidP="00424449">
            <w:pPr>
              <w:spacing w:before="60" w:after="60"/>
              <w:jc w:val="center"/>
              <w:rPr>
                <w:b/>
                <w:color w:val="FFFFFF" w:themeColor="background1"/>
              </w:rPr>
            </w:pPr>
            <w:r w:rsidRPr="00FD6ADD">
              <w:rPr>
                <w:b/>
                <w:color w:val="FFFFFF" w:themeColor="background1"/>
              </w:rPr>
              <w:t>sposób uwzględnienia w programie</w:t>
            </w:r>
          </w:p>
        </w:tc>
      </w:tr>
      <w:tr w:rsidR="00424449" w:rsidTr="002A4B9A">
        <w:tc>
          <w:tcPr>
            <w:tcW w:w="4786" w:type="dxa"/>
            <w:vAlign w:val="center"/>
          </w:tcPr>
          <w:p w:rsidR="00424449" w:rsidRPr="0020144D" w:rsidRDefault="00424449" w:rsidP="002A4B9A">
            <w:pPr>
              <w:spacing w:before="120" w:after="240"/>
              <w:jc w:val="center"/>
            </w:pPr>
            <w:r>
              <w:t>r</w:t>
            </w:r>
            <w:r w:rsidRPr="0020144D">
              <w:t xml:space="preserve">ezygnacja z wdrażania PI 2.2 w ramach </w:t>
            </w:r>
            <w:r>
              <w:t>OP II – jako lepsze rozwiązanie wskazana połączenie wszystkich działań związanych z konkurencyjnością MŚP w działaniach CT3</w:t>
            </w:r>
          </w:p>
        </w:tc>
        <w:tc>
          <w:tcPr>
            <w:tcW w:w="4426" w:type="dxa"/>
            <w:vAlign w:val="center"/>
          </w:tcPr>
          <w:p w:rsidR="00424449" w:rsidRPr="0020144D" w:rsidRDefault="00424449" w:rsidP="002A4B9A">
            <w:pPr>
              <w:spacing w:before="120" w:after="240"/>
              <w:jc w:val="center"/>
            </w:pPr>
            <w:r w:rsidRPr="0020144D">
              <w:t>Uwzględnienie interwencji w zakresie TIK w przedsiębiorstwach w OP I.</w:t>
            </w:r>
          </w:p>
        </w:tc>
      </w:tr>
      <w:tr w:rsidR="00424449" w:rsidTr="002A4B9A">
        <w:tc>
          <w:tcPr>
            <w:tcW w:w="4786" w:type="dxa"/>
            <w:vAlign w:val="center"/>
          </w:tcPr>
          <w:p w:rsidR="00424449" w:rsidRDefault="00424449" w:rsidP="002A4B9A">
            <w:pPr>
              <w:spacing w:before="120" w:after="240"/>
              <w:jc w:val="center"/>
            </w:pPr>
            <w:r>
              <w:t>wyeksponowanie konieczności realizacji skoordynowanych przedsięwzięć o charakterze systemowym, które w kompleksowy sposób podnoszą jakość usług publicznych w danym obszarze</w:t>
            </w:r>
          </w:p>
        </w:tc>
        <w:tc>
          <w:tcPr>
            <w:tcW w:w="4426" w:type="dxa"/>
            <w:vAlign w:val="center"/>
          </w:tcPr>
          <w:p w:rsidR="00424449" w:rsidRPr="0020144D" w:rsidRDefault="00424449" w:rsidP="002A4B9A">
            <w:pPr>
              <w:spacing w:before="120" w:after="240"/>
              <w:jc w:val="center"/>
            </w:pPr>
            <w:r>
              <w:t>zmieniono opis oczekiwany rezultatów interwencji, podkreślając rolę interoperacyjności wspieranych rozwiązań</w:t>
            </w:r>
          </w:p>
        </w:tc>
      </w:tr>
      <w:tr w:rsidR="00424449" w:rsidTr="002A4B9A">
        <w:tc>
          <w:tcPr>
            <w:tcW w:w="4786" w:type="dxa"/>
            <w:vAlign w:val="center"/>
          </w:tcPr>
          <w:p w:rsidR="00424449" w:rsidRPr="0020144D" w:rsidRDefault="00424449" w:rsidP="002A4B9A">
            <w:pPr>
              <w:spacing w:before="120" w:after="240"/>
              <w:jc w:val="center"/>
            </w:pPr>
            <w:r>
              <w:t>rozwinięcie diagnozy w celu lepszego uzasadnienia planowanej interwencji</w:t>
            </w:r>
          </w:p>
        </w:tc>
        <w:tc>
          <w:tcPr>
            <w:tcW w:w="4426" w:type="dxa"/>
            <w:vAlign w:val="center"/>
          </w:tcPr>
          <w:p w:rsidR="00424449" w:rsidRPr="0020144D" w:rsidRDefault="00424449" w:rsidP="002A4B9A">
            <w:pPr>
              <w:spacing w:before="120" w:after="240"/>
              <w:jc w:val="center"/>
            </w:pPr>
            <w:r w:rsidRPr="0020144D">
              <w:t>Dokonano istotnego rozszerzenia diagnozy.</w:t>
            </w:r>
          </w:p>
        </w:tc>
      </w:tr>
      <w:tr w:rsidR="00424449" w:rsidTr="002A4B9A">
        <w:tc>
          <w:tcPr>
            <w:tcW w:w="9212" w:type="dxa"/>
            <w:gridSpan w:val="2"/>
            <w:vAlign w:val="center"/>
          </w:tcPr>
          <w:p w:rsidR="00424449" w:rsidRPr="0020144D" w:rsidRDefault="00424449" w:rsidP="002A4B9A">
            <w:pPr>
              <w:spacing w:before="120" w:after="240"/>
              <w:jc w:val="center"/>
            </w:pPr>
            <w:r w:rsidRPr="0020144D">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8B0D93" w:rsidRPr="008B0D93" w:rsidRDefault="008B0D93" w:rsidP="008B0D93">
      <w:pPr>
        <w:pStyle w:val="Nagwek2"/>
      </w:pPr>
      <w:bookmarkStart w:id="37" w:name="_Toc384914420"/>
      <w:r w:rsidRPr="008B0D93">
        <w:t>Oś priorytetowa III. Czysta energia</w:t>
      </w:r>
      <w:bookmarkEnd w:id="37"/>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424449" w:rsidRPr="00BD4169" w:rsidTr="008B0D93">
        <w:trPr>
          <w:tblHeader/>
        </w:trPr>
        <w:tc>
          <w:tcPr>
            <w:tcW w:w="4786" w:type="dxa"/>
            <w:shd w:val="clear" w:color="auto" w:fill="366092" w:themeFill="accent1"/>
          </w:tcPr>
          <w:p w:rsidR="00424449" w:rsidRPr="00FD6ADD" w:rsidRDefault="008B0D93" w:rsidP="00424449">
            <w:pPr>
              <w:spacing w:before="60" w:after="60"/>
              <w:jc w:val="center"/>
              <w:rPr>
                <w:b/>
                <w:color w:val="FFFFFF" w:themeColor="background1"/>
              </w:rPr>
            </w:pPr>
            <w:r>
              <w:rPr>
                <w:rStyle w:val="Wyrnienieintensywne1"/>
              </w:rPr>
              <w:t>\</w:t>
            </w:r>
            <w:r w:rsidR="00424449" w:rsidRPr="00FD6ADD">
              <w:rPr>
                <w:b/>
                <w:color w:val="FFFFFF" w:themeColor="background1"/>
              </w:rPr>
              <w:t>zgłoszona rekomendacja</w:t>
            </w:r>
          </w:p>
        </w:tc>
        <w:tc>
          <w:tcPr>
            <w:tcW w:w="4426" w:type="dxa"/>
            <w:shd w:val="clear" w:color="auto" w:fill="366092" w:themeFill="accent1"/>
          </w:tcPr>
          <w:p w:rsidR="00424449" w:rsidRPr="00FD6ADD" w:rsidRDefault="00424449" w:rsidP="00424449">
            <w:pPr>
              <w:spacing w:before="60" w:after="60"/>
              <w:jc w:val="center"/>
              <w:rPr>
                <w:b/>
                <w:color w:val="FFFFFF" w:themeColor="background1"/>
              </w:rPr>
            </w:pPr>
            <w:r w:rsidRPr="00FD6ADD">
              <w:rPr>
                <w:b/>
                <w:color w:val="FFFFFF" w:themeColor="background1"/>
              </w:rPr>
              <w:t>sposób uwzględnienia w programie</w:t>
            </w:r>
          </w:p>
        </w:tc>
      </w:tr>
      <w:tr w:rsidR="00424449" w:rsidTr="008B0D93">
        <w:tc>
          <w:tcPr>
            <w:tcW w:w="4786" w:type="dxa"/>
            <w:vAlign w:val="center"/>
          </w:tcPr>
          <w:p w:rsidR="00424449" w:rsidRDefault="00424449" w:rsidP="008B0D93">
            <w:pPr>
              <w:spacing w:before="60" w:after="60"/>
              <w:jc w:val="center"/>
            </w:pPr>
            <w:r>
              <w:t xml:space="preserve">konieczność doprecyzowania diagnozy (sekcja </w:t>
            </w:r>
            <w:r w:rsidR="00DE299B">
              <w:t>1.1</w:t>
            </w:r>
            <w:r>
              <w:t xml:space="preserve"> oraz opisy poszczególnych priorytetów inwestycyjnych)</w:t>
            </w:r>
          </w:p>
        </w:tc>
        <w:tc>
          <w:tcPr>
            <w:tcW w:w="4426" w:type="dxa"/>
            <w:vAlign w:val="center"/>
          </w:tcPr>
          <w:p w:rsidR="00424449" w:rsidRDefault="00424449" w:rsidP="008B0D93">
            <w:pPr>
              <w:spacing w:before="60" w:after="60"/>
              <w:jc w:val="center"/>
            </w:pPr>
            <w:r>
              <w:t>doprecyzowanie zapisów diagnozy do specyfiki województwa podkarpackiego: przedstawienie potencjałów związanych z rozwojem energetyki odnawialnego, wyeksponowanie problemu jakości powietrza (niska emisja) oraz wyzwań sektora ciepłownictwa</w:t>
            </w:r>
          </w:p>
        </w:tc>
      </w:tr>
      <w:tr w:rsidR="00424449" w:rsidTr="008B0D93">
        <w:tc>
          <w:tcPr>
            <w:tcW w:w="4786" w:type="dxa"/>
            <w:vAlign w:val="center"/>
          </w:tcPr>
          <w:p w:rsidR="00424449" w:rsidRDefault="00424449" w:rsidP="008B0D93">
            <w:pPr>
              <w:spacing w:before="60" w:after="60"/>
              <w:jc w:val="center"/>
            </w:pPr>
            <w:r>
              <w:t>zwiększenie koncentracji tematycznej interwencji na poziomie PI: rezygnacja z odrębnego priorytetu inwestycyjnego 4.2 (dopuszczenie wsparcia tego typu w osi priorytetowej I) oraz priorytetu inwestycyjnego 4.7 (problemy z demarkacją, możliwość uwzględnienia w pozostałych PI)</w:t>
            </w:r>
          </w:p>
        </w:tc>
        <w:tc>
          <w:tcPr>
            <w:tcW w:w="4426" w:type="dxa"/>
            <w:vAlign w:val="center"/>
          </w:tcPr>
          <w:p w:rsidR="00424449" w:rsidRDefault="00424449" w:rsidP="008B0D93">
            <w:pPr>
              <w:spacing w:before="60" w:after="60"/>
              <w:jc w:val="center"/>
            </w:pPr>
            <w:r>
              <w:t>- rezygnacja z wyodrębnienia PI 4.2</w:t>
            </w:r>
          </w:p>
          <w:p w:rsidR="00424449" w:rsidRDefault="00424449" w:rsidP="008B0D93">
            <w:pPr>
              <w:spacing w:before="60" w:after="60"/>
              <w:jc w:val="center"/>
            </w:pPr>
            <w:r>
              <w:t>- rezygnacja z wyodrębnienia PI 4.7</w:t>
            </w:r>
          </w:p>
        </w:tc>
      </w:tr>
      <w:tr w:rsidR="00424449" w:rsidTr="008B0D93">
        <w:tc>
          <w:tcPr>
            <w:tcW w:w="4786" w:type="dxa"/>
            <w:vAlign w:val="center"/>
          </w:tcPr>
          <w:p w:rsidR="00424449" w:rsidRDefault="00424449" w:rsidP="008B0D93">
            <w:pPr>
              <w:spacing w:before="60" w:after="60"/>
              <w:jc w:val="center"/>
            </w:pPr>
            <w:r>
              <w:t>konieczność modyfikacji celów szczegółowych na poziomie poszczególnych PI, aby odzwierciedlały oczekiwane efekty działań, a nie  opisywały same działania</w:t>
            </w:r>
          </w:p>
        </w:tc>
        <w:tc>
          <w:tcPr>
            <w:tcW w:w="4426" w:type="dxa"/>
            <w:vAlign w:val="center"/>
          </w:tcPr>
          <w:p w:rsidR="00424449" w:rsidRDefault="00424449" w:rsidP="008B0D93">
            <w:pPr>
              <w:spacing w:before="60" w:after="60"/>
              <w:jc w:val="center"/>
            </w:pPr>
            <w:r>
              <w:t>modyfikacja sposobu sformułowania celów szczegółowych</w:t>
            </w:r>
          </w:p>
        </w:tc>
      </w:tr>
      <w:tr w:rsidR="00424449" w:rsidTr="008B0D93">
        <w:tc>
          <w:tcPr>
            <w:tcW w:w="4786" w:type="dxa"/>
            <w:vAlign w:val="center"/>
          </w:tcPr>
          <w:p w:rsidR="00424449" w:rsidRDefault="00424449" w:rsidP="008B0D93">
            <w:pPr>
              <w:spacing w:before="60" w:after="60"/>
              <w:jc w:val="center"/>
            </w:pPr>
            <w:r>
              <w:t>modyfikacja zakresu interwencji PI 4.1: rezygnacja ze wsparcia producentów biopaliw i biokomponentów oraz producentów technologii OZE</w:t>
            </w:r>
          </w:p>
        </w:tc>
        <w:tc>
          <w:tcPr>
            <w:tcW w:w="4426" w:type="dxa"/>
            <w:vAlign w:val="center"/>
          </w:tcPr>
          <w:p w:rsidR="00424449" w:rsidRDefault="00424449" w:rsidP="008B0D93">
            <w:pPr>
              <w:spacing w:before="60" w:after="60"/>
              <w:jc w:val="center"/>
            </w:pPr>
            <w:r>
              <w:t>modyfikacja zapisów zgodnie ze zgłoszonymi sugestiami (koncentracja tematyczna na budowie instalacji OZE oraz przyłączach do KSE).</w:t>
            </w:r>
          </w:p>
        </w:tc>
      </w:tr>
      <w:tr w:rsidR="00424449" w:rsidTr="008B0D93">
        <w:tc>
          <w:tcPr>
            <w:tcW w:w="4786" w:type="dxa"/>
            <w:vAlign w:val="center"/>
          </w:tcPr>
          <w:p w:rsidR="00424449" w:rsidRDefault="00424449" w:rsidP="008B0D93">
            <w:pPr>
              <w:spacing w:before="60" w:after="60"/>
              <w:jc w:val="center"/>
            </w:pPr>
            <w:r>
              <w:lastRenderedPageBreak/>
              <w:t>koncentracja interwencji PI 4.3 i 4.5 na działaniach związanych ze zmniejszeniem tzw. niskiej emisji</w:t>
            </w:r>
          </w:p>
        </w:tc>
        <w:tc>
          <w:tcPr>
            <w:tcW w:w="4426" w:type="dxa"/>
            <w:vAlign w:val="center"/>
          </w:tcPr>
          <w:p w:rsidR="00424449" w:rsidRDefault="00424449" w:rsidP="008B0D93">
            <w:pPr>
              <w:spacing w:before="60" w:after="60"/>
              <w:jc w:val="center"/>
            </w:pPr>
            <w:r>
              <w:t>dostosowanie opisu obydwu PI oraz wyeksponowanie typów projektów prowadzących do tego rezultatu</w:t>
            </w:r>
          </w:p>
        </w:tc>
      </w:tr>
      <w:tr w:rsidR="00424449" w:rsidTr="008B0D93">
        <w:tc>
          <w:tcPr>
            <w:tcW w:w="4786" w:type="dxa"/>
            <w:vAlign w:val="center"/>
          </w:tcPr>
          <w:p w:rsidR="00424449" w:rsidRDefault="00424449" w:rsidP="008B0D93">
            <w:pPr>
              <w:spacing w:before="60" w:after="60"/>
              <w:jc w:val="center"/>
            </w:pPr>
            <w:r>
              <w:t>konieczność zwiększenia precyzji opisów przykładowych typów projektów w celu uniknięcia problemów podczas wdrażania programu</w:t>
            </w:r>
          </w:p>
        </w:tc>
        <w:tc>
          <w:tcPr>
            <w:tcW w:w="4426" w:type="dxa"/>
            <w:vAlign w:val="center"/>
          </w:tcPr>
          <w:p w:rsidR="00424449" w:rsidRDefault="00424449" w:rsidP="008B0D93">
            <w:pPr>
              <w:spacing w:before="60" w:after="60"/>
              <w:jc w:val="center"/>
            </w:pPr>
            <w:r>
              <w:t>bardziej precyzyjne opisanie przykładowych typów projektów w PI 4.1, 4.3 i 4.5</w:t>
            </w:r>
          </w:p>
        </w:tc>
      </w:tr>
      <w:tr w:rsidR="00424449" w:rsidTr="008B0D93">
        <w:tc>
          <w:tcPr>
            <w:tcW w:w="4786" w:type="dxa"/>
            <w:vAlign w:val="center"/>
          </w:tcPr>
          <w:p w:rsidR="00424449" w:rsidRDefault="00424449" w:rsidP="008B0D93">
            <w:pPr>
              <w:spacing w:before="60" w:after="60"/>
              <w:jc w:val="center"/>
            </w:pPr>
            <w:r>
              <w:t>modyfikacja założeń interwencji PI 4.5: koncentracja interwencji na działaniach związanych modernizacją i rozwojem sieci ciepłowniczych na obszarach miejskich oraz przeniesienie działań związanych z transportem miejskim do osi transportowej</w:t>
            </w:r>
          </w:p>
        </w:tc>
        <w:tc>
          <w:tcPr>
            <w:tcW w:w="4426" w:type="dxa"/>
            <w:vAlign w:val="center"/>
          </w:tcPr>
          <w:p w:rsidR="00424449" w:rsidRDefault="00424449" w:rsidP="008B0D93">
            <w:pPr>
              <w:spacing w:before="60" w:after="60"/>
              <w:jc w:val="center"/>
            </w:pPr>
            <w:r>
              <w:t>modyfikacja zapisów zgodnie ze zgłoszonymi sugestiami (uwzględnienie transportu miejskiego w osi priorytetowej V, koncentracja PI 4.5 na sieciach ciepłowniczych)</w:t>
            </w:r>
          </w:p>
        </w:tc>
      </w:tr>
      <w:tr w:rsidR="00424449" w:rsidTr="008B0D93">
        <w:tc>
          <w:tcPr>
            <w:tcW w:w="4786" w:type="dxa"/>
            <w:vAlign w:val="center"/>
          </w:tcPr>
          <w:p w:rsidR="00424449" w:rsidRDefault="00424449" w:rsidP="008B0D93">
            <w:pPr>
              <w:spacing w:before="60" w:after="60"/>
              <w:jc w:val="center"/>
            </w:pPr>
            <w:r>
              <w:t>modyfikacja systemu wskaźników:</w:t>
            </w:r>
          </w:p>
          <w:p w:rsidR="00424449" w:rsidRDefault="00424449" w:rsidP="008B0D93">
            <w:pPr>
              <w:spacing w:before="60" w:after="60"/>
              <w:jc w:val="center"/>
            </w:pPr>
            <w:r>
              <w:t>- konieczność powiązania wskaźników rezultatu strategicznego z celami szczegółowymi;</w:t>
            </w:r>
          </w:p>
          <w:p w:rsidR="00424449" w:rsidRDefault="00424449" w:rsidP="008B0D93">
            <w:pPr>
              <w:spacing w:before="60" w:after="60"/>
              <w:jc w:val="center"/>
            </w:pPr>
            <w:r>
              <w:t>- racjonalizacja listy wskaźników produktu i rezultatu bezpośredniego.</w:t>
            </w:r>
          </w:p>
        </w:tc>
        <w:tc>
          <w:tcPr>
            <w:tcW w:w="4426" w:type="dxa"/>
            <w:vAlign w:val="center"/>
          </w:tcPr>
          <w:p w:rsidR="00424449" w:rsidRDefault="00424449" w:rsidP="008B0D93">
            <w:pPr>
              <w:spacing w:before="60" w:after="60"/>
              <w:jc w:val="center"/>
            </w:pPr>
            <w:r>
              <w:t>korekta doboru wskaźników:</w:t>
            </w:r>
          </w:p>
          <w:p w:rsidR="00424449" w:rsidRDefault="00424449" w:rsidP="008B0D93">
            <w:pPr>
              <w:spacing w:before="60" w:after="60"/>
              <w:jc w:val="center"/>
            </w:pPr>
            <w:r>
              <w:t>- wskaźniki rezultatu strategicznego powiązane z celami szczególnymi</w:t>
            </w:r>
          </w:p>
          <w:p w:rsidR="00424449" w:rsidRDefault="00424449" w:rsidP="008B0D93">
            <w:pPr>
              <w:spacing w:before="60" w:after="60"/>
              <w:jc w:val="center"/>
            </w:pPr>
            <w:r>
              <w:t>- dostosowanie listy wskaźników typu output do koncentracji tematycznej w poszczególnych PI, przeniesienie pozostałych mierników do SzOP</w:t>
            </w:r>
          </w:p>
        </w:tc>
      </w:tr>
      <w:tr w:rsidR="00424449" w:rsidTr="008B0D93">
        <w:tc>
          <w:tcPr>
            <w:tcW w:w="9212" w:type="dxa"/>
            <w:gridSpan w:val="2"/>
            <w:vAlign w:val="center"/>
          </w:tcPr>
          <w:p w:rsidR="00424449" w:rsidRDefault="00424449" w:rsidP="008B0D93">
            <w:pPr>
              <w:spacing w:before="60" w:after="60"/>
              <w:jc w:val="cente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8B0D93" w:rsidRDefault="008B0D93" w:rsidP="008B0D93">
      <w:pPr>
        <w:pStyle w:val="Nagwek2"/>
      </w:pPr>
      <w:bookmarkStart w:id="38" w:name="_Toc384914421"/>
      <w:r w:rsidRPr="008B0D93">
        <w:t>Oś priorytetowa IV. Ochrona środowiska naturalnego i dziedzictwa kulturowego</w:t>
      </w:r>
      <w:bookmarkEnd w:id="38"/>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424449" w:rsidRPr="00BD4169" w:rsidTr="008B0D93">
        <w:trPr>
          <w:tblHeader/>
        </w:trPr>
        <w:tc>
          <w:tcPr>
            <w:tcW w:w="4786" w:type="dxa"/>
            <w:shd w:val="clear" w:color="auto" w:fill="366092" w:themeFill="accent1"/>
          </w:tcPr>
          <w:p w:rsidR="00424449" w:rsidRPr="00FD6ADD" w:rsidRDefault="00424449" w:rsidP="00424449">
            <w:pPr>
              <w:spacing w:before="60" w:after="60"/>
              <w:jc w:val="center"/>
              <w:rPr>
                <w:b/>
                <w:color w:val="FFFFFF" w:themeColor="background1"/>
              </w:rPr>
            </w:pPr>
            <w:r w:rsidRPr="00FD6ADD">
              <w:rPr>
                <w:b/>
                <w:color w:val="FFFFFF" w:themeColor="background1"/>
              </w:rPr>
              <w:t>zgłoszona rekomendacja</w:t>
            </w:r>
          </w:p>
        </w:tc>
        <w:tc>
          <w:tcPr>
            <w:tcW w:w="4426" w:type="dxa"/>
            <w:shd w:val="clear" w:color="auto" w:fill="366092" w:themeFill="accent1"/>
          </w:tcPr>
          <w:p w:rsidR="00424449" w:rsidRPr="00A7521C" w:rsidRDefault="00424449" w:rsidP="00424449">
            <w:pPr>
              <w:spacing w:before="60" w:after="60"/>
              <w:jc w:val="center"/>
              <w:rPr>
                <w:b/>
                <w:color w:val="FFFFFF" w:themeColor="background1"/>
              </w:rPr>
            </w:pPr>
            <w:r w:rsidRPr="00A7521C">
              <w:rPr>
                <w:b/>
                <w:color w:val="FFFFFF" w:themeColor="background1"/>
              </w:rPr>
              <w:t>sposób uwzględnienia w programie</w:t>
            </w:r>
          </w:p>
        </w:tc>
      </w:tr>
      <w:tr w:rsidR="00424449" w:rsidTr="00424449">
        <w:tc>
          <w:tcPr>
            <w:tcW w:w="4786" w:type="dxa"/>
            <w:vAlign w:val="center"/>
          </w:tcPr>
          <w:p w:rsidR="00424449" w:rsidRDefault="00424449" w:rsidP="008B0D93">
            <w:pPr>
              <w:spacing w:before="60" w:after="60"/>
              <w:jc w:val="center"/>
            </w:pPr>
            <w:r w:rsidRPr="002705CD">
              <w:t xml:space="preserve">konieczność doprecyzowania diagnozy (sekcja </w:t>
            </w:r>
            <w:r w:rsidR="00DE299B">
              <w:t>1.1</w:t>
            </w:r>
            <w:r w:rsidRPr="002705CD">
              <w:t xml:space="preserve"> oraz opisy poszczególnych priorytetów inwestycyjnych)</w:t>
            </w:r>
            <w:r>
              <w:t xml:space="preserve"> aby lepiej odpowiadało specyfikę programu i województwa</w:t>
            </w:r>
          </w:p>
        </w:tc>
        <w:tc>
          <w:tcPr>
            <w:tcW w:w="4426" w:type="dxa"/>
            <w:vAlign w:val="center"/>
          </w:tcPr>
          <w:p w:rsidR="00424449" w:rsidRPr="00A7521C" w:rsidRDefault="00424449" w:rsidP="008B0D93">
            <w:pPr>
              <w:spacing w:before="60" w:after="60"/>
              <w:jc w:val="center"/>
            </w:pPr>
            <w:r w:rsidRPr="00A7521C">
              <w:t>uzupełnienie uzasadnienia dla interwencji  w odniesieniu do</w:t>
            </w:r>
            <w:r>
              <w:t xml:space="preserve">:  służb ratunkowych, </w:t>
            </w:r>
            <w:r w:rsidRPr="00A7521C">
              <w:t>zagospodarowania odpadów, w tym recyklingu oraz odpadów niebezpiecznych</w:t>
            </w:r>
            <w:r>
              <w:t>,</w:t>
            </w:r>
            <w:r w:rsidRPr="00A7521C">
              <w:t xml:space="preserve"> gospodarki wodnej</w:t>
            </w:r>
            <w:r>
              <w:t xml:space="preserve">, </w:t>
            </w:r>
            <w:r w:rsidRPr="00A7521C">
              <w:t xml:space="preserve"> dziedzictwa kulturowego</w:t>
            </w:r>
            <w:r>
              <w:t xml:space="preserve">, </w:t>
            </w:r>
            <w:r w:rsidRPr="00A7521C">
              <w:t xml:space="preserve"> bioróżnorodności;</w:t>
            </w:r>
          </w:p>
        </w:tc>
      </w:tr>
      <w:tr w:rsidR="00424449" w:rsidTr="00424449">
        <w:tc>
          <w:tcPr>
            <w:tcW w:w="4786" w:type="dxa"/>
            <w:vAlign w:val="center"/>
          </w:tcPr>
          <w:p w:rsidR="00424449" w:rsidRDefault="00424449" w:rsidP="008B0D93">
            <w:pPr>
              <w:spacing w:before="60" w:after="60"/>
              <w:jc w:val="center"/>
            </w:pPr>
            <w:r w:rsidRPr="002705CD">
              <w:t>wypracowane podczas warsztatów brzmienie celu nadrzędnego dla osi</w:t>
            </w:r>
            <w:r>
              <w:t xml:space="preserve"> oraz celów szczegółowych poszczególnych PI tak aby </w:t>
            </w:r>
            <w:r w:rsidRPr="002705CD">
              <w:t>odzwierciedlały oczekiwane efekty działań, a nie  opisywały same działania</w:t>
            </w:r>
          </w:p>
        </w:tc>
        <w:tc>
          <w:tcPr>
            <w:tcW w:w="4426" w:type="dxa"/>
            <w:vAlign w:val="center"/>
          </w:tcPr>
          <w:p w:rsidR="00424449" w:rsidRPr="00A7521C" w:rsidRDefault="00424449" w:rsidP="008B0D93">
            <w:pPr>
              <w:spacing w:before="60" w:after="60"/>
              <w:jc w:val="center"/>
            </w:pPr>
            <w:r>
              <w:t>z</w:t>
            </w:r>
            <w:r w:rsidRPr="00A7521C">
              <w:t>modyfikowano brzmienie celu głównego</w:t>
            </w:r>
            <w:r>
              <w:t xml:space="preserve"> oraz celów szczegółowych</w:t>
            </w:r>
          </w:p>
        </w:tc>
      </w:tr>
      <w:tr w:rsidR="00424449" w:rsidTr="00424449">
        <w:tc>
          <w:tcPr>
            <w:tcW w:w="4786" w:type="dxa"/>
            <w:vAlign w:val="center"/>
          </w:tcPr>
          <w:p w:rsidR="00424449" w:rsidRDefault="00424449" w:rsidP="008B0D93">
            <w:pPr>
              <w:spacing w:before="60" w:after="60"/>
              <w:jc w:val="center"/>
            </w:pPr>
            <w:r>
              <w:t>uporządkowanie założeń interwencji w ramach poszczególnych PI</w:t>
            </w:r>
          </w:p>
        </w:tc>
        <w:tc>
          <w:tcPr>
            <w:tcW w:w="4426" w:type="dxa"/>
            <w:vAlign w:val="center"/>
          </w:tcPr>
          <w:p w:rsidR="00424449" w:rsidRDefault="00424449" w:rsidP="008B0D93">
            <w:pPr>
              <w:spacing w:before="60" w:after="60"/>
              <w:ind w:left="3"/>
              <w:jc w:val="center"/>
            </w:pPr>
            <w:r w:rsidRPr="00A7521C">
              <w:t>uporządkowano logikę interwencji w priorytecie 6.3, zastosowano dwutorowe podejście do wsparcia obszaru kultury</w:t>
            </w:r>
          </w:p>
          <w:p w:rsidR="00424449" w:rsidRPr="00A7521C" w:rsidRDefault="00424449" w:rsidP="008B0D93">
            <w:pPr>
              <w:spacing w:before="60" w:after="60"/>
              <w:ind w:left="3"/>
              <w:jc w:val="center"/>
            </w:pPr>
            <w:r>
              <w:t xml:space="preserve">uwzględniono wsparcie dla zagospodarowania </w:t>
            </w:r>
            <w:r>
              <w:lastRenderedPageBreak/>
              <w:t>wód opadowych i roztopowych w miastach w ramach PI 5.2</w:t>
            </w:r>
          </w:p>
          <w:p w:rsidR="00424449" w:rsidRDefault="00424449" w:rsidP="008B0D93">
            <w:pPr>
              <w:spacing w:before="60" w:after="60"/>
              <w:ind w:left="3"/>
              <w:jc w:val="center"/>
            </w:pPr>
            <w:r w:rsidRPr="00A7521C">
              <w:t>usunięto typy projektów niepowiązane z celami priorytetów inwestycyjnych</w:t>
            </w:r>
            <w:r>
              <w:t xml:space="preserve"> (PI</w:t>
            </w:r>
            <w:r w:rsidRPr="00A7521C">
              <w:t xml:space="preserve"> 6.1 - energetyczne zagospodarowanie odpadów, tworzenie i zasilanie funduszy kapitałowych</w:t>
            </w:r>
            <w:r>
              <w:t>;  PI</w:t>
            </w:r>
            <w:r w:rsidRPr="00A7521C">
              <w:t xml:space="preserve"> 6.2- zagospodarowanie wód opadowych i roztopowych</w:t>
            </w:r>
            <w:r>
              <w:t>, PI 6.5 kompleksowe uzbrojenie terenów pod inwestycje oraz działania promocyjne)</w:t>
            </w:r>
          </w:p>
          <w:p w:rsidR="00424449" w:rsidRPr="00A7521C" w:rsidRDefault="00424449" w:rsidP="008B0D93">
            <w:pPr>
              <w:spacing w:before="60" w:after="60"/>
              <w:jc w:val="center"/>
            </w:pPr>
          </w:p>
        </w:tc>
      </w:tr>
      <w:tr w:rsidR="00424449" w:rsidTr="00424449">
        <w:tc>
          <w:tcPr>
            <w:tcW w:w="4786" w:type="dxa"/>
            <w:vAlign w:val="center"/>
          </w:tcPr>
          <w:p w:rsidR="00424449" w:rsidRDefault="00424449" w:rsidP="008B0D93">
            <w:pPr>
              <w:spacing w:before="60" w:after="60"/>
              <w:jc w:val="center"/>
            </w:pPr>
            <w:r>
              <w:lastRenderedPageBreak/>
              <w:t>modyfikacja systemu wskaźników:</w:t>
            </w:r>
          </w:p>
          <w:p w:rsidR="00424449" w:rsidRDefault="00424449" w:rsidP="008B0D93">
            <w:pPr>
              <w:spacing w:before="60" w:after="60"/>
              <w:jc w:val="center"/>
            </w:pPr>
            <w:r>
              <w:t>- konieczność powiązania wskaźników rezultatu strategicznego z celami szczegółowymi;</w:t>
            </w:r>
          </w:p>
          <w:p w:rsidR="00424449" w:rsidRDefault="00424449" w:rsidP="008B0D93">
            <w:pPr>
              <w:spacing w:before="60" w:after="60"/>
              <w:jc w:val="center"/>
            </w:pPr>
            <w:r>
              <w:t>- racjonalizacja listy wskaźników produktu i rezultatu bezpośredniego.</w:t>
            </w:r>
          </w:p>
        </w:tc>
        <w:tc>
          <w:tcPr>
            <w:tcW w:w="4426" w:type="dxa"/>
            <w:vAlign w:val="center"/>
          </w:tcPr>
          <w:p w:rsidR="00424449" w:rsidRPr="00A7521C" w:rsidRDefault="00424449" w:rsidP="008B0D93">
            <w:pPr>
              <w:spacing w:before="60" w:after="60"/>
              <w:jc w:val="center"/>
            </w:pPr>
            <w:r>
              <w:t>skrócono listę wskaźników produktu i rezultatu, koncentrując się na monitorowaniu kluczowych efektów interwencji.</w:t>
            </w:r>
          </w:p>
        </w:tc>
      </w:tr>
      <w:tr w:rsidR="00424449" w:rsidTr="00424449">
        <w:tc>
          <w:tcPr>
            <w:tcW w:w="9212" w:type="dxa"/>
            <w:gridSpan w:val="2"/>
            <w:vAlign w:val="center"/>
          </w:tcPr>
          <w:p w:rsidR="00424449" w:rsidRPr="00A7521C" w:rsidRDefault="00424449" w:rsidP="008B0D93">
            <w:pPr>
              <w:spacing w:before="60" w:after="60"/>
              <w:jc w:val="center"/>
            </w:pPr>
            <w:r w:rsidRPr="00A7521C">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424449" w:rsidRPr="00EA69EE" w:rsidRDefault="008B0D93" w:rsidP="008B0D93">
      <w:pPr>
        <w:pStyle w:val="Nagwek2"/>
      </w:pPr>
      <w:bookmarkStart w:id="39" w:name="_Toc384914422"/>
      <w:r w:rsidRPr="008B0D93">
        <w:t>Oś priorytetowa V. Infrastruktura komunikacyjna</w:t>
      </w:r>
      <w:bookmarkEnd w:id="39"/>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424449" w:rsidRPr="00BD4169" w:rsidTr="008B0D93">
        <w:trPr>
          <w:tblHeader/>
        </w:trPr>
        <w:tc>
          <w:tcPr>
            <w:tcW w:w="4786" w:type="dxa"/>
            <w:shd w:val="clear" w:color="auto" w:fill="366092" w:themeFill="accent1"/>
          </w:tcPr>
          <w:p w:rsidR="00424449" w:rsidRPr="00FD6ADD" w:rsidRDefault="00424449" w:rsidP="00424449">
            <w:pPr>
              <w:spacing w:before="60" w:after="60"/>
              <w:jc w:val="center"/>
              <w:rPr>
                <w:b/>
                <w:color w:val="FFFFFF" w:themeColor="background1"/>
              </w:rPr>
            </w:pPr>
            <w:r w:rsidRPr="00FD6ADD">
              <w:rPr>
                <w:b/>
                <w:color w:val="FFFFFF" w:themeColor="background1"/>
              </w:rPr>
              <w:t>zgłoszona rekomendacja</w:t>
            </w:r>
          </w:p>
        </w:tc>
        <w:tc>
          <w:tcPr>
            <w:tcW w:w="4426" w:type="dxa"/>
            <w:shd w:val="clear" w:color="auto" w:fill="366092" w:themeFill="accent1"/>
          </w:tcPr>
          <w:p w:rsidR="00424449" w:rsidRPr="00FD6ADD" w:rsidRDefault="00424449" w:rsidP="00424449">
            <w:pPr>
              <w:spacing w:before="60" w:after="60"/>
              <w:jc w:val="center"/>
              <w:rPr>
                <w:b/>
                <w:color w:val="FFFFFF" w:themeColor="background1"/>
              </w:rPr>
            </w:pPr>
            <w:r w:rsidRPr="00FD6ADD">
              <w:rPr>
                <w:b/>
                <w:color w:val="FFFFFF" w:themeColor="background1"/>
              </w:rPr>
              <w:t>sposób uwzględnienia w programie</w:t>
            </w:r>
          </w:p>
        </w:tc>
      </w:tr>
      <w:tr w:rsidR="00424449" w:rsidTr="00424449">
        <w:tc>
          <w:tcPr>
            <w:tcW w:w="4786" w:type="dxa"/>
            <w:vAlign w:val="center"/>
          </w:tcPr>
          <w:p w:rsidR="00424449" w:rsidRDefault="00424449" w:rsidP="008B0D93">
            <w:pPr>
              <w:spacing w:before="60" w:after="60"/>
              <w:jc w:val="center"/>
            </w:pPr>
            <w:r>
              <w:t xml:space="preserve">konieczność doprecyzowania diagnozy (sekcja </w:t>
            </w:r>
            <w:r w:rsidR="00DE299B">
              <w:t>1.1</w:t>
            </w:r>
            <w:r>
              <w:t xml:space="preserve"> oraz opisy poszczególnych priorytetów inwestycyjnych)</w:t>
            </w:r>
          </w:p>
        </w:tc>
        <w:tc>
          <w:tcPr>
            <w:tcW w:w="4426" w:type="dxa"/>
            <w:vAlign w:val="center"/>
          </w:tcPr>
          <w:p w:rsidR="00424449" w:rsidRDefault="00424449" w:rsidP="008B0D93">
            <w:pPr>
              <w:spacing w:before="60" w:after="60"/>
              <w:jc w:val="center"/>
            </w:pPr>
            <w:r>
              <w:t xml:space="preserve">doprecyzowanie zapisów diagnozy do specyfiki województwa podkarpackiego: </w:t>
            </w:r>
            <w:r>
              <w:tab/>
              <w:t>zmniejszającą się wielkość przewozów pasażerskich (co wynika też z zamykania linii); niewystarczającą integrację transportu kolejowego z pozostałymi gałęziami transportu; uwzględnienie niezaspokojonych potrzeb taborowych; poprawa uzasadnienie ale interwencji związanej z transportem miejskim</w:t>
            </w:r>
          </w:p>
        </w:tc>
      </w:tr>
      <w:tr w:rsidR="00424449" w:rsidTr="00424449">
        <w:tc>
          <w:tcPr>
            <w:tcW w:w="4786" w:type="dxa"/>
            <w:vAlign w:val="center"/>
          </w:tcPr>
          <w:p w:rsidR="00424449" w:rsidRDefault="00424449" w:rsidP="008B0D93">
            <w:pPr>
              <w:spacing w:before="60" w:after="60"/>
              <w:jc w:val="center"/>
            </w:pPr>
            <w:r>
              <w:t>wypracowane podczas warsztatów brzmienie celu nadrzędnego dla osi (uwypuklenie relacji ze światem zewnętrznym), modyfikacji celów szczegółowych na poziomie poszczególnych PI, aby odzwierciedlały oczekiwane efekty działań, a nie  opisywały same działania</w:t>
            </w:r>
          </w:p>
        </w:tc>
        <w:tc>
          <w:tcPr>
            <w:tcW w:w="4426" w:type="dxa"/>
            <w:vAlign w:val="center"/>
          </w:tcPr>
          <w:p w:rsidR="00424449" w:rsidRDefault="00424449" w:rsidP="008B0D93">
            <w:pPr>
              <w:spacing w:before="60" w:after="60"/>
              <w:jc w:val="center"/>
            </w:pPr>
            <w:r>
              <w:t>modyfikacja sposobu sformułowania celu nadrzędnego oraz celów szczegółowych (w szczególności dostosowanie oferty systemu transportowego do potrzeb użytkowników)</w:t>
            </w:r>
          </w:p>
        </w:tc>
      </w:tr>
      <w:tr w:rsidR="00424449" w:rsidTr="00424449">
        <w:tc>
          <w:tcPr>
            <w:tcW w:w="4786" w:type="dxa"/>
            <w:vAlign w:val="center"/>
          </w:tcPr>
          <w:p w:rsidR="00424449" w:rsidRDefault="00424449" w:rsidP="008B0D93">
            <w:pPr>
              <w:spacing w:before="60" w:after="60"/>
              <w:jc w:val="center"/>
            </w:pPr>
            <w:r>
              <w:t>przeniesienie działań związanych z transportem miejskim do osi transportowej – jako uzupełnienie dla interwencji w ramach celu tematycznego 7</w:t>
            </w:r>
          </w:p>
        </w:tc>
        <w:tc>
          <w:tcPr>
            <w:tcW w:w="4426" w:type="dxa"/>
            <w:vAlign w:val="center"/>
          </w:tcPr>
          <w:p w:rsidR="00424449" w:rsidRDefault="00424449" w:rsidP="008B0D93">
            <w:pPr>
              <w:spacing w:before="60" w:after="60"/>
              <w:jc w:val="center"/>
            </w:pPr>
            <w:r>
              <w:t>przeniesienie elementów PI 4.5 z osi priorytetowej III</w:t>
            </w:r>
            <w:r w:rsidR="00D507EA">
              <w:t xml:space="preserve"> (dzięki czemu interwencję w obszarze infrastruktury transportowej udało się skoncentrować w jednej osi priorytetowej)</w:t>
            </w:r>
          </w:p>
        </w:tc>
      </w:tr>
      <w:tr w:rsidR="00424449" w:rsidTr="00424449">
        <w:tc>
          <w:tcPr>
            <w:tcW w:w="4786" w:type="dxa"/>
            <w:vAlign w:val="center"/>
          </w:tcPr>
          <w:p w:rsidR="00424449" w:rsidRDefault="00424449" w:rsidP="008B0D93">
            <w:pPr>
              <w:spacing w:before="60" w:after="60"/>
              <w:jc w:val="center"/>
            </w:pPr>
            <w:r>
              <w:lastRenderedPageBreak/>
              <w:t>dostosowanie zakresu interwencji w PI 4.5 do specyfiki miast subregionalnych (wcześniejsze zapisy uwzględniały wyłącznie specyfikę miast wojewódzkich, które będą wspierane w programie krajowym)</w:t>
            </w:r>
          </w:p>
        </w:tc>
        <w:tc>
          <w:tcPr>
            <w:tcW w:w="4426" w:type="dxa"/>
            <w:vAlign w:val="center"/>
          </w:tcPr>
          <w:p w:rsidR="00424449" w:rsidRDefault="00424449" w:rsidP="008B0D93">
            <w:pPr>
              <w:spacing w:before="60" w:after="60"/>
              <w:jc w:val="center"/>
            </w:pPr>
            <w:r>
              <w:t>uogólnienie zapisów programu</w:t>
            </w:r>
          </w:p>
        </w:tc>
      </w:tr>
      <w:tr w:rsidR="00424449" w:rsidTr="00424449">
        <w:tc>
          <w:tcPr>
            <w:tcW w:w="4786" w:type="dxa"/>
            <w:vAlign w:val="center"/>
          </w:tcPr>
          <w:p w:rsidR="00424449" w:rsidRDefault="00424449" w:rsidP="008B0D93">
            <w:pPr>
              <w:spacing w:before="60" w:after="60"/>
              <w:jc w:val="center"/>
            </w:pPr>
            <w:r>
              <w:t>zmiana alokacji w ramach osi priorytetowej (przeniesienie środków z infrastruktury kolejowej na infrastrukturę drogową – dostosowanie do potrzeb rozwojowych regionu)</w:t>
            </w:r>
          </w:p>
        </w:tc>
        <w:tc>
          <w:tcPr>
            <w:tcW w:w="4426" w:type="dxa"/>
            <w:vAlign w:val="center"/>
          </w:tcPr>
          <w:p w:rsidR="00424449" w:rsidRDefault="00424449" w:rsidP="008B0D93">
            <w:pPr>
              <w:spacing w:before="60" w:after="60"/>
              <w:jc w:val="center"/>
            </w:pPr>
            <w:r>
              <w:t>zmiana alokacji</w:t>
            </w:r>
          </w:p>
        </w:tc>
      </w:tr>
      <w:tr w:rsidR="00424449" w:rsidTr="00424449">
        <w:tc>
          <w:tcPr>
            <w:tcW w:w="4786" w:type="dxa"/>
            <w:vAlign w:val="center"/>
          </w:tcPr>
          <w:p w:rsidR="00424449" w:rsidRDefault="00424449" w:rsidP="008B0D93">
            <w:pPr>
              <w:spacing w:before="60" w:after="60"/>
              <w:jc w:val="center"/>
            </w:pPr>
            <w:r>
              <w:t>modyfikacja systemu wskaźników:</w:t>
            </w:r>
          </w:p>
          <w:p w:rsidR="00424449" w:rsidRDefault="00424449" w:rsidP="008B0D93">
            <w:pPr>
              <w:spacing w:before="60" w:after="60"/>
              <w:jc w:val="center"/>
            </w:pPr>
            <w:r>
              <w:t>- konieczność powiązania wskaźników rezultatu strategicznego z celami szczegółowymi;</w:t>
            </w:r>
          </w:p>
          <w:p w:rsidR="00424449" w:rsidRDefault="00424449" w:rsidP="008B0D93">
            <w:pPr>
              <w:spacing w:before="60" w:after="60"/>
              <w:jc w:val="center"/>
            </w:pPr>
            <w:r>
              <w:t>- racjonalizacja listy wskaźników produktu i rezultatu bezpośredniego.</w:t>
            </w:r>
          </w:p>
        </w:tc>
        <w:tc>
          <w:tcPr>
            <w:tcW w:w="4426" w:type="dxa"/>
            <w:vAlign w:val="center"/>
          </w:tcPr>
          <w:p w:rsidR="00424449" w:rsidRDefault="00424449" w:rsidP="008B0D93">
            <w:pPr>
              <w:spacing w:before="60" w:after="60"/>
              <w:jc w:val="center"/>
            </w:pPr>
            <w:r>
              <w:t>korekta doboru wskaźników:</w:t>
            </w:r>
          </w:p>
          <w:p w:rsidR="00424449" w:rsidRDefault="00424449" w:rsidP="008B0D93">
            <w:pPr>
              <w:spacing w:before="60" w:after="60"/>
              <w:jc w:val="center"/>
            </w:pPr>
            <w:r>
              <w:t>- wskaźniki rezultatu strategicznego powiązane z celami szczególnymi</w:t>
            </w:r>
          </w:p>
          <w:p w:rsidR="00424449" w:rsidRDefault="00424449" w:rsidP="008B0D93">
            <w:pPr>
              <w:spacing w:before="60" w:after="60"/>
              <w:jc w:val="center"/>
            </w:pPr>
            <w:r>
              <w:t>- dostosowanie listy wskaźników typu output do koncentracji tematycznej w poszczególnych PI, przeniesienie pozostałych mierników do SzOP</w:t>
            </w:r>
          </w:p>
        </w:tc>
      </w:tr>
      <w:tr w:rsidR="00424449" w:rsidTr="00424449">
        <w:tc>
          <w:tcPr>
            <w:tcW w:w="9212" w:type="dxa"/>
            <w:gridSpan w:val="2"/>
            <w:vAlign w:val="center"/>
          </w:tcPr>
          <w:p w:rsidR="00424449" w:rsidRDefault="00424449" w:rsidP="008B0D93">
            <w:pPr>
              <w:spacing w:before="60" w:after="60"/>
              <w:jc w:val="cente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D507EA" w:rsidRDefault="00D507EA" w:rsidP="00D507EA">
      <w:pPr>
        <w:pStyle w:val="Nagwek2"/>
        <w:rPr>
          <w:rFonts w:asciiTheme="minorHAnsi" w:hAnsiTheme="minorHAnsi"/>
          <w:i/>
        </w:rPr>
      </w:pPr>
      <w:bookmarkStart w:id="40" w:name="_Toc384914423"/>
      <w:r w:rsidRPr="007B6696">
        <w:rPr>
          <w:rFonts w:asciiTheme="minorHAnsi" w:hAnsiTheme="minorHAnsi"/>
        </w:rPr>
        <w:t>Oś priorytetowa VI.</w:t>
      </w:r>
      <w:r w:rsidRPr="007B6696">
        <w:rPr>
          <w:rFonts w:asciiTheme="minorHAnsi" w:hAnsiTheme="minorHAnsi"/>
          <w:i/>
        </w:rPr>
        <w:t xml:space="preserve"> </w:t>
      </w:r>
      <w:r>
        <w:rPr>
          <w:rFonts w:asciiTheme="minorHAnsi" w:hAnsiTheme="minorHAnsi"/>
          <w:i/>
        </w:rPr>
        <w:t>Spójność przestrzenna i społeczna</w:t>
      </w:r>
      <w:bookmarkEnd w:id="40"/>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D507EA" w:rsidTr="00D507EA">
        <w:trPr>
          <w:tblHeader/>
        </w:trPr>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rsidP="00B05F42">
            <w:pPr>
              <w:spacing w:before="60" w:after="60"/>
              <w:jc w:val="center"/>
              <w:rPr>
                <w:rFonts w:eastAsia="Times New Roman"/>
                <w:b/>
                <w:color w:val="FFFFFF" w:themeColor="background1"/>
              </w:rPr>
            </w:pPr>
            <w:r>
              <w:rPr>
                <w:b/>
                <w:color w:val="FFFFFF" w:themeColor="background1"/>
              </w:rPr>
              <w:t>zgłoszona rekomendacja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rsidP="00B05F42">
            <w:pPr>
              <w:spacing w:before="60" w:after="60"/>
              <w:jc w:val="center"/>
              <w:rPr>
                <w:rFonts w:eastAsia="Times New Roman"/>
                <w:b/>
                <w:color w:val="FFFFFF" w:themeColor="background1"/>
              </w:rPr>
            </w:pPr>
            <w:r>
              <w:rPr>
                <w:b/>
                <w:color w:val="FFFFFF" w:themeColor="background1"/>
              </w:rPr>
              <w:t>sposób uwzględnienia w programie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 xml:space="preserve">modyfikacja diagnozy w obszarze usługi zdrowotne i społeczne </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Uzupełniono i uporządkowano diagnozę w zakresie dostępu do usług społecznych, w tym usług środowiskowych, uwypuklając specyfikę województwa podkarpackiego..</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 xml:space="preserve">Przeformułowanie celów </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pPr>
            <w:r>
              <w:t>Przeformułowano cele dla PI 9.1: wyodrębniono dwa cele (osobny dla usług społecznych, osobny dla usług zdrowotnych) i znacząco je uproszczono. Zgodnie z rekomendacją cele koncentrują się na jakości, a nie dostępności usług.</w:t>
            </w:r>
          </w:p>
          <w:p w:rsidR="00D507EA" w:rsidRDefault="00D507EA" w:rsidP="00B05F42">
            <w:pPr>
              <w:spacing w:before="60" w:after="60"/>
              <w:jc w:val="center"/>
              <w:rPr>
                <w:rFonts w:eastAsia="Times New Roman"/>
              </w:rPr>
            </w:pPr>
            <w:r>
              <w:t>Przeformułowano również znacząco cel dla PI 9.2. W nowym celu, zgodnie z rekomendacjami, położono nacisk na rozwiązywanie kwestii społecznych na obszarach rewitalizowanych, zrezygnowano natomiast z atrakcyjności tych obszarów.</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Wprowadzenie zapisów ograniczających negatywne efekty uboczne rewitalizacji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 xml:space="preserve">Wzmocniono zapisy charakteryzujące wymagania wobec projektów rewitalizacyjnych. Dodano zapisy dotyczące preferencji projektów ograniczających </w:t>
            </w:r>
            <w:r>
              <w:lastRenderedPageBreak/>
              <w:t>negatywne efekty społeczne.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lastRenderedPageBreak/>
              <w:t xml:space="preserve">Koncentracja interwencji w ramach 10.4 na inwestycjach w infrastrukturę przedszkoli oraz szkolnictwa zawodowego </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W opisie priorytetu inwestycyjnego podkreślono priorytetowe potraktowanie inwestycji w infrastrukturę przedszkolną oraz szkolnictwa zawodowego.</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Niejasna propozycja inwestycji w rehabilitację zdrowotną (w tym uzdrowiskową)</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Zapis został usunięty</w:t>
            </w:r>
          </w:p>
        </w:tc>
      </w:tr>
      <w:tr w:rsidR="00D507EA" w:rsidTr="00D507EA">
        <w:trPr>
          <w:trHeight w:val="1192"/>
        </w:trPr>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Koncentracja inwestycji na poprawieniu jakości opieki nad kobietą w ciąży oraz noworodkiem i dziećmi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W opisie interwencji mowa jest o koncentracji na poprawieniu jakości świadczonych usług.</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Uporządkowanie zapisów dotyczących usług społecznych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Opis usług społecznych, które będą wspierane, jest bardziej klarowny i zrozumiały.</w:t>
            </w:r>
          </w:p>
        </w:tc>
      </w:tr>
      <w:tr w:rsidR="00D507EA" w:rsidTr="00D507EA">
        <w:tc>
          <w:tcPr>
            <w:tcW w:w="921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B05F42">
            <w:pPr>
              <w:spacing w:before="60" w:after="60"/>
              <w:jc w:val="center"/>
              <w:rPr>
                <w:rFonts w:eastAsia="Times New Roman"/>
              </w:rP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D507EA" w:rsidRDefault="00D507EA" w:rsidP="00D507EA">
      <w:pPr>
        <w:pStyle w:val="Nagwek2"/>
        <w:rPr>
          <w:rFonts w:asciiTheme="minorHAnsi" w:hAnsiTheme="minorHAnsi"/>
          <w:i/>
        </w:rPr>
      </w:pPr>
      <w:bookmarkStart w:id="41" w:name="_Toc384914424"/>
      <w:r w:rsidRPr="0090295D">
        <w:rPr>
          <w:rFonts w:asciiTheme="minorHAnsi" w:hAnsiTheme="minorHAnsi"/>
        </w:rPr>
        <w:t xml:space="preserve">Oś </w:t>
      </w:r>
      <w:r>
        <w:rPr>
          <w:rFonts w:asciiTheme="minorHAnsi" w:hAnsiTheme="minorHAnsi"/>
        </w:rPr>
        <w:t xml:space="preserve">priorytetowa </w:t>
      </w:r>
      <w:r w:rsidRPr="0090295D">
        <w:rPr>
          <w:rFonts w:asciiTheme="minorHAnsi" w:hAnsiTheme="minorHAnsi"/>
        </w:rPr>
        <w:t>VI</w:t>
      </w:r>
      <w:r>
        <w:rPr>
          <w:rFonts w:asciiTheme="minorHAnsi" w:hAnsiTheme="minorHAnsi"/>
        </w:rPr>
        <w:t>I</w:t>
      </w:r>
      <w:r>
        <w:rPr>
          <w:rFonts w:asciiTheme="minorHAnsi" w:hAnsiTheme="minorHAnsi"/>
          <w:i/>
        </w:rPr>
        <w:t>. Regionalny rynek pracy</w:t>
      </w:r>
      <w:bookmarkEnd w:id="41"/>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D507EA" w:rsidTr="00D507EA">
        <w:trPr>
          <w:tblHeader/>
        </w:trPr>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zgłoszona rekomendacja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sposób uwzględnienia w programie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 xml:space="preserve">modyfikacja diagnozy w obszarze </w:t>
            </w:r>
            <w:r>
              <w:rPr>
                <w:i/>
              </w:rPr>
              <w:t>Rynek pracy</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Uspójniono i uporządkowano diagnozę w zakresie wykorzystywanych wskaźników, uwzględniono wskaźnik zatrudnienia dla wybranych grup. Poprawiono zapisy odwołujące się do przyczyn niskiej aktywności pracodawców w zakresie podnoszenia kwalifikacji pracowników. Uzupełniono diagnozę o tematy opisywane w poszczególnych PI. Usunięto zapisy odwołujące się do elastycznych form zatrudnienia.</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zmniejszenie liczby  i przeformułowanie listy wyzwań i oczekiwanych efektów interwencji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Ostatecznie wskazano na 7 wyzwań i 9 oczekiwanych efektów interwencji, sformułowanych trafnie i poprawnie.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poprawienie terminologii związanej z odbiorcami wsparcia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Poprawiono kategoryzacje odbiorców wsparcia w PI 8.5 i 8.7  przez poprawne zastosowanie kategorii: bezrobotni, bierni zawodowo i poszukujący pracy.</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zmiana kategoryzacji instrumentów opisanych w typach projektów i uporządkowanie terminologiczne związane z kwalifikacjami i kompetencjami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Uporządkowano opis typów projektów w PI 8.5, usunięto wsparcie w zakresie wolontariatu, uwzględniono nabywanie kompetencji zawodowych.</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lastRenderedPageBreak/>
              <w:t>Modyfikacja celów szczegółowych zgodnie z sugestiami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Przeformułowano cele szczegółowe na:</w:t>
            </w:r>
          </w:p>
          <w:p w:rsidR="00D507EA" w:rsidRDefault="00D507EA" w:rsidP="006E6138">
            <w:pPr>
              <w:pStyle w:val="Akapitzlist"/>
              <w:numPr>
                <w:ilvl w:val="0"/>
                <w:numId w:val="51"/>
              </w:numPr>
              <w:spacing w:before="60" w:after="60"/>
              <w:ind w:left="317" w:hanging="283"/>
              <w:jc w:val="left"/>
            </w:pPr>
            <w:r>
              <w:t xml:space="preserve">PI 8.5  </w:t>
            </w:r>
            <w:r>
              <w:rPr>
                <w:i/>
              </w:rPr>
              <w:t>Wzrost liczby osób lepiej przygotowanych do wejścia i utrzymania się na rynku pracy</w:t>
            </w:r>
            <w:r>
              <w:t xml:space="preserve">, </w:t>
            </w:r>
          </w:p>
          <w:p w:rsidR="00D507EA" w:rsidRDefault="00D507EA" w:rsidP="006E6138">
            <w:pPr>
              <w:pStyle w:val="Akapitzlist"/>
              <w:numPr>
                <w:ilvl w:val="0"/>
                <w:numId w:val="51"/>
              </w:numPr>
              <w:spacing w:before="60" w:after="60"/>
              <w:ind w:left="317" w:hanging="283"/>
              <w:jc w:val="left"/>
            </w:pPr>
            <w:r>
              <w:t xml:space="preserve">8.7 </w:t>
            </w:r>
            <w:r>
              <w:rPr>
                <w:i/>
              </w:rPr>
              <w:t>Wzrost przedsiębiorczości i samozatrudnienia w regionie</w:t>
            </w:r>
          </w:p>
          <w:p w:rsidR="00D507EA" w:rsidRDefault="00D507EA" w:rsidP="006E6138">
            <w:pPr>
              <w:pStyle w:val="Akapitzlist"/>
              <w:numPr>
                <w:ilvl w:val="0"/>
                <w:numId w:val="51"/>
              </w:numPr>
              <w:spacing w:before="60" w:after="60"/>
              <w:ind w:left="317" w:hanging="283"/>
              <w:jc w:val="left"/>
            </w:pPr>
            <w:r>
              <w:t xml:space="preserve">8.8 </w:t>
            </w:r>
            <w:r>
              <w:rPr>
                <w:i/>
              </w:rPr>
              <w:t>Zwiększenie poziomu zatrudnienia wśród osób posiadających utrudniony dostęp do rynku pracy z powodu</w:t>
            </w:r>
            <w:r>
              <w:t xml:space="preserve"> </w:t>
            </w:r>
            <w:r>
              <w:rPr>
                <w:i/>
              </w:rPr>
              <w:t>sprawowania opieki nad dziećmi do lat 3.</w:t>
            </w:r>
          </w:p>
          <w:p w:rsidR="00D507EA" w:rsidRDefault="00D507EA" w:rsidP="006E6138">
            <w:pPr>
              <w:pStyle w:val="Akapitzlist"/>
              <w:numPr>
                <w:ilvl w:val="0"/>
                <w:numId w:val="51"/>
              </w:numPr>
              <w:spacing w:before="60" w:after="60"/>
              <w:ind w:left="317" w:hanging="283"/>
              <w:jc w:val="left"/>
              <w:rPr>
                <w:rFonts w:eastAsia="Times New Roman"/>
              </w:rPr>
            </w:pPr>
            <w:r>
              <w:t xml:space="preserve">8.9 </w:t>
            </w:r>
            <w:r>
              <w:rPr>
                <w:i/>
              </w:rPr>
              <w:t>Zwiększenie adaptacyjności przedsiębiorstw i pracowników, dotkniętych procesami zmiany gospodarczej</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wskazanie, które grupy kryją się pod pojęciem „osób w najtrudniejszej sytuacji na rynku pracy” w kontekście dostępnego wsparcia pomostowego i dotacji.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Doprecyzowano odbiorców wsparcia bezzwrotnego w 8.7.</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Uzupełnienie wymagania w stosunku do operatorów zwrotnych form wsparcia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Określono wymagań formalnych wobec beneficjentów zarządzających instrumentami inżynierii finansowej (operatorów)</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nieograniczanie podstawowego narzędzia realizacji wsparcia w PI 8.9 tylko do Rejestru Usług Rozwojowych (RUR)</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Zrezygnowano ze świadczenia usług rozwojowych w nowym systemie RUR w PI 8.9</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Ograniczenie wsparcia, które nie jest kluczowe z punktu widzenia celów PI 8.10</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Ograniczono wsparcie w PI 8.10 (wsparcie spędzania wolnego czasu, działania związane ze zdrowym trybem życia, wsparcie psychologiczne dla bezrobotnych)</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Ograniczenie skali działań w programie promujących elastyczne formy zatrudnienia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Usunięto z zakresu interwencji PI 8.8 wsparcie elastycznych form zatrudnienia i dodatkowe instrumenty mało istotne z punktu widzenia programu</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w zakresie wsparcia doradczo-szkoleniowego uzupełnienie zapisu o podporządkowaniu tych usług indywidualnym potrzebom uczestników</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Uwzględniono indywidualizację wsparcia w PI 8.7</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zmniejszenie liczby wskaźników.</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Ograniczono liczbę wskaźników produktu i rezultatu i zaktualizowano nazwy wskaźników.</w:t>
            </w:r>
          </w:p>
        </w:tc>
      </w:tr>
      <w:tr w:rsidR="00D507EA" w:rsidTr="00D507EA">
        <w:tc>
          <w:tcPr>
            <w:tcW w:w="921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B05F42" w:rsidRDefault="00B05F42" w:rsidP="00B05F42"/>
    <w:p w:rsidR="00B05F42" w:rsidRDefault="00B05F42" w:rsidP="00B05F42">
      <w:pPr>
        <w:rPr>
          <w:rFonts w:asciiTheme="majorHAnsi" w:eastAsiaTheme="majorEastAsia" w:hAnsiTheme="majorHAnsi" w:cstheme="majorBidi"/>
          <w:color w:val="366092" w:themeColor="accent1"/>
          <w:sz w:val="26"/>
          <w:szCs w:val="26"/>
        </w:rPr>
      </w:pPr>
      <w:r>
        <w:lastRenderedPageBreak/>
        <w:br w:type="page"/>
      </w:r>
    </w:p>
    <w:p w:rsidR="00D507EA" w:rsidRDefault="00D507EA" w:rsidP="00D507EA">
      <w:pPr>
        <w:pStyle w:val="Nagwek2"/>
        <w:rPr>
          <w:i/>
        </w:rPr>
      </w:pPr>
      <w:bookmarkStart w:id="42" w:name="_Toc384914425"/>
      <w:r w:rsidRPr="00352BB4">
        <w:rPr>
          <w:i/>
        </w:rPr>
        <w:lastRenderedPageBreak/>
        <w:t xml:space="preserve">Oś </w:t>
      </w:r>
      <w:r>
        <w:t xml:space="preserve">priorytetowa </w:t>
      </w:r>
      <w:r>
        <w:rPr>
          <w:i/>
        </w:rPr>
        <w:t>VIII</w:t>
      </w:r>
      <w:r w:rsidR="00B05F42">
        <w:rPr>
          <w:i/>
        </w:rPr>
        <w:t>.</w:t>
      </w:r>
      <w:r w:rsidRPr="000D75B9">
        <w:rPr>
          <w:i/>
        </w:rPr>
        <w:t xml:space="preserve"> Integracja społeczna</w:t>
      </w:r>
      <w:bookmarkEnd w:id="42"/>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D507EA" w:rsidTr="00D507EA">
        <w:trPr>
          <w:tblHeader/>
        </w:trPr>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zgłoszona rekomendacja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sposób uwzględnienia w programie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modyfikacja diagnozy w celu lepszego uzasadnienia interwencji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Zmieniono zapisy diagnozy zgodnie z rekomendacjami, w szczególności skupino się na kluczowych problemach i ich przyczynach zamiast przedstawiania szeregu zjawisk i opisujących je danych statystycznych wskazano na najważniejsze ryzyka socjalne i ich współwystępowanie. Wyzwania sformułowano jako problemy, a oczekiwane efekty jako rezultaty interwencji.</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rPr>
                <w:rFonts w:eastAsia="Times New Roman"/>
              </w:rPr>
            </w:pPr>
            <w:r>
              <w:t>doprecyzowanie, na jakich zasadach prowadzona będzie współpraca między instytucjami pomocy społecznej i innymi podmiotami.,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Wprowadzono działania o charakterze koordynacyjnym i monitoringowym w zakresie aktywnej integracji,</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wzmocnienie w PI 9.4  znaczenie wsparcia dla osób niepełnosprawnych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Wyszczególniono kategorię osób niepełnosprawnych i wskazano jakie podmioty będą świadczyć im dedykowane wsparcie.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uwzględnienie wsparcia dla podmiotów integracyjnych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Uwzględniono wsparcie CIS, KIS, ZAZ i WTZ.</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uwzględnienie w grupach docelowych interwencji gospodarstwa pracujących biednych w PI 9.4</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pPr>
            <w:r>
              <w:t>Uwzględniono osoby ubogie w katalogu odbiorców wsparcia w PI 9.4.</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bardzo szeroki katalog grup docelowych oraz rodzajów świadczonych usług, instytucji i grup docelowych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Uszczegółowiono katalog grup docelowych oraz rodzajów świadczonych usług, instytucji i grup docelowych w PI 9.7, koncentrując pomoc na wsparciu rodziny doświadczającej trudności</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rozszerzenie katalogu beneficjentów o jednostki służby zdrowia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Wpisano podmioty działające w publicznym i niepublicznym systemie ochrony zdrowia jako beneficjentów PI 9.7</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rozszerzenie wsparcia dla innych podmiotów ekonomii społecznej, niż tylko spółdzielnie socjalne</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Usunięto zapisy bezpośrednio wskazujące na preferencję spółdzielni socjalnych., zapewniając pluralizmu form przedsiębiorstw społecznych</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Uporządkowanie terminologii sektora ekonomii społecznej</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Zawarto zapisy jednoznacznie identyfikujące odbiorców wsparcia, zgodnie z definicjami zawartymi w krajowym programie rozwoju ekonomii społecznej.</w:t>
            </w:r>
          </w:p>
        </w:tc>
      </w:tr>
      <w:tr w:rsidR="00D507EA" w:rsidTr="00D507EA">
        <w:tc>
          <w:tcPr>
            <w:tcW w:w="921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pPr>
              <w:spacing w:before="60" w:after="60"/>
              <w:jc w:val="center"/>
              <w:rPr>
                <w:rFonts w:eastAsia="Times New Roman"/>
              </w:rP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D507EA" w:rsidRPr="00D507EA" w:rsidRDefault="00D507EA" w:rsidP="00D507EA"/>
    <w:p w:rsidR="00D507EA" w:rsidRDefault="00D507EA" w:rsidP="00D507EA">
      <w:pPr>
        <w:pStyle w:val="Nagwek2"/>
        <w:rPr>
          <w:rFonts w:asciiTheme="minorHAnsi" w:hAnsiTheme="minorHAnsi"/>
          <w:i/>
        </w:rPr>
      </w:pPr>
      <w:bookmarkStart w:id="43" w:name="_Toc384914426"/>
      <w:r w:rsidRPr="003E6234">
        <w:rPr>
          <w:rFonts w:asciiTheme="minorHAnsi" w:hAnsiTheme="minorHAnsi"/>
        </w:rPr>
        <w:lastRenderedPageBreak/>
        <w:t>Oś priorytetowa IX.</w:t>
      </w:r>
      <w:r w:rsidRPr="003E6234">
        <w:rPr>
          <w:rFonts w:asciiTheme="minorHAnsi" w:hAnsiTheme="minorHAnsi"/>
          <w:i/>
        </w:rPr>
        <w:t xml:space="preserve"> Jakość edukacji i kompetencji w regionie</w:t>
      </w:r>
      <w:bookmarkEnd w:id="43"/>
    </w:p>
    <w:tbl>
      <w:tblPr>
        <w:tblStyle w:val="Tabela-Siatk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4786"/>
        <w:gridCol w:w="4426"/>
      </w:tblGrid>
      <w:tr w:rsidR="00D507EA" w:rsidTr="00D507EA">
        <w:trPr>
          <w:tblHeader/>
        </w:trPr>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zgłoszona rekomendacja</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hideMark/>
          </w:tcPr>
          <w:p w:rsidR="00D507EA" w:rsidRDefault="00D507EA">
            <w:pPr>
              <w:spacing w:before="60" w:after="60"/>
              <w:jc w:val="center"/>
              <w:rPr>
                <w:rFonts w:eastAsia="Times New Roman"/>
                <w:b/>
                <w:color w:val="FFFFFF" w:themeColor="background1"/>
              </w:rPr>
            </w:pPr>
            <w:r>
              <w:rPr>
                <w:b/>
                <w:color w:val="FFFFFF" w:themeColor="background1"/>
              </w:rPr>
              <w:t>sposób uwzględnienia w programie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 xml:space="preserve">konieczność doprecyzowania diagnozy (sekcja </w:t>
            </w:r>
            <w:r w:rsidR="00DE299B">
              <w:t>1.1</w:t>
            </w:r>
            <w:r>
              <w:t xml:space="preserve"> oraz opisy poszczególnych priorytetów inwestycyjnych)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pPr>
            <w:r>
              <w:t>- doprecyzowanie w zakresie: poziomu rozwoju e-usług i kompetencji, nierówności dostępie do usług edukacyjnych, doskonalenia zawodowego nauczycieli</w:t>
            </w:r>
          </w:p>
          <w:p w:rsidR="00D507EA" w:rsidRDefault="00D507EA" w:rsidP="00D507EA">
            <w:pPr>
              <w:spacing w:before="60" w:after="60"/>
              <w:jc w:val="center"/>
            </w:pPr>
            <w:r>
              <w:t>- zopereacjonalizowano poszczególne pojęcia</w:t>
            </w:r>
          </w:p>
          <w:p w:rsidR="00D507EA" w:rsidRDefault="00D507EA" w:rsidP="00D507EA">
            <w:pPr>
              <w:spacing w:before="60" w:after="60"/>
              <w:jc w:val="center"/>
            </w:pPr>
            <w:r>
              <w:t>- reedukacja danych zbędnych</w:t>
            </w:r>
          </w:p>
          <w:p w:rsidR="00D507EA" w:rsidRDefault="00D507EA" w:rsidP="00D507EA">
            <w:pPr>
              <w:spacing w:before="60" w:after="60"/>
              <w:jc w:val="center"/>
              <w:rPr>
                <w:rFonts w:eastAsia="Times New Roman"/>
              </w:rPr>
            </w:pPr>
            <w:r>
              <w:t>- zmieniono sformułowania oczekiwanych efektów interwencji oraz kluczowych wyzwań</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zmiana brzmienia celów szczegółowych w PI 10.1, 10.3</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Zmieniono brzmienie celów szczegółowych – obecnie proponowanie są metodologicznie poprawne, a także pełnie odzwierciedlają oczekiwane efekty interwencji w ramach PI</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uzasadnienie wdrażania programów i narzędzi w zakresie efektywnego zarządzania placówką oświatową w ramach 10.1</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zakres usunięty</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dookreślenie kryteriów koncentracji dla doposażenia placówek w nowoczesne materiały dydaktyczne i sprzęt</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wskazano szkoły zawodowe i pracownie przedmiotowe</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w działaniach skierowanych do uczniów uzdolnionych należy zwrócić uwagę na wsparcie nie tylko uczniów osiągających ponadprzeciętne wyniki w nauce, ale także rozwijanie talentów w dziedzinach pozaszkolnych</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Stosownie uzupełniony opis interwencji w ramach 10.1</w:t>
            </w:r>
          </w:p>
        </w:tc>
      </w:tr>
      <w:tr w:rsidR="00D507EA" w:rsidTr="00D507EA">
        <w:tc>
          <w:tcPr>
            <w:tcW w:w="47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większa koncentracja na poprawie form i metod nauczania (nowy model doskonalenia nauczycieli</w:t>
            </w:r>
          </w:p>
        </w:tc>
        <w:tc>
          <w:tcPr>
            <w:tcW w:w="44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Stosownie uzupełniony opis interwencji w ramach 10.1</w:t>
            </w:r>
          </w:p>
        </w:tc>
      </w:tr>
      <w:tr w:rsidR="00D507EA" w:rsidTr="00D507EA">
        <w:tc>
          <w:tcPr>
            <w:tcW w:w="921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D507EA" w:rsidRDefault="00D507EA" w:rsidP="00D507EA">
            <w:pPr>
              <w:spacing w:before="60" w:after="60"/>
              <w:jc w:val="center"/>
              <w:rPr>
                <w:rFonts w:eastAsia="Times New Roman"/>
              </w:rPr>
            </w:pPr>
            <w:r>
              <w:t>Pozostałe rekomendacje opisanie w niniejszym raporcie nie odnoszą się bezpośrednio do zapisów projektu RPO WP 2014-2020, ale dotyczą warunków, które powinny zostać spełnione, aby planowaną interwencję charakteryzowała maksymalna skuteczność i efektywność. Należy wziąć je pod uwagę podczas prac nad szczegółowym opisem osi priorytetowych oraz podczas wdrażania programu.</w:t>
            </w:r>
          </w:p>
        </w:tc>
      </w:tr>
    </w:tbl>
    <w:p w:rsidR="00D507EA" w:rsidRPr="00D507EA" w:rsidRDefault="00D507EA" w:rsidP="00D507EA"/>
    <w:p w:rsidR="00D507EA" w:rsidRPr="00D507EA" w:rsidRDefault="00D507EA" w:rsidP="00D507EA"/>
    <w:p w:rsidR="008B0D93" w:rsidRDefault="008B0D93">
      <w:pPr>
        <w:jc w:val="left"/>
      </w:pPr>
    </w:p>
    <w:p w:rsidR="00D507EA" w:rsidRDefault="00D507EA">
      <w:pPr>
        <w:jc w:val="left"/>
      </w:pPr>
    </w:p>
    <w:p w:rsidR="00230E9D" w:rsidRDefault="00230E9D">
      <w:pPr>
        <w:jc w:val="left"/>
      </w:pPr>
      <w:r>
        <w:br w:type="page"/>
      </w:r>
    </w:p>
    <w:p w:rsidR="00EA1E55" w:rsidRDefault="00230E9D" w:rsidP="00230E9D">
      <w:pPr>
        <w:pStyle w:val="Nagwek1"/>
      </w:pPr>
      <w:bookmarkStart w:id="44" w:name="_Toc384914427"/>
      <w:r>
        <w:lastRenderedPageBreak/>
        <w:t>Załączniki</w:t>
      </w:r>
      <w:bookmarkEnd w:id="44"/>
    </w:p>
    <w:p w:rsidR="00230E9D" w:rsidRDefault="00230E9D" w:rsidP="00230E9D">
      <w:pPr>
        <w:pStyle w:val="Nagwek2"/>
      </w:pPr>
      <w:bookmarkStart w:id="45" w:name="_Toc384914428"/>
      <w:r>
        <w:t>Wstępny zarys planu ewaluacji RPO WP 2014-2020</w:t>
      </w:r>
      <w:bookmarkEnd w:id="45"/>
    </w:p>
    <w:p w:rsidR="00264C5B" w:rsidRDefault="00264C5B" w:rsidP="00264C5B">
      <w:r>
        <w:t xml:space="preserve">Niniejszy załącznik do raportu z ewaluacji ex-ante powinien stanowić punkt wyjścia do opracowania przez Instytucję Zarządzającą RPO WP 2014-2020 planu ewaluacji programu, z uwzględnieniem zapisów Rozporządzenia ogólnego oraz wytycznych Komisji Europejskiej i Ministerstwa Infrastruktury i Rozwoju. </w:t>
      </w:r>
    </w:p>
    <w:p w:rsidR="00264C5B" w:rsidRDefault="00264C5B" w:rsidP="00264C5B">
      <w:r>
        <w:t>W materiale przedstawioną wstępną propozycję zagadnień, które powinny zostać objęte ewaluacją. Wyróżniono dwa typy ewaluacji:</w:t>
      </w:r>
    </w:p>
    <w:p w:rsidR="00264C5B" w:rsidRPr="00E95B63" w:rsidRDefault="00264C5B" w:rsidP="006E6138">
      <w:pPr>
        <w:pStyle w:val="Akapitzlist"/>
        <w:numPr>
          <w:ilvl w:val="0"/>
          <w:numId w:val="57"/>
        </w:numPr>
        <w:spacing w:before="120" w:after="120"/>
        <w:contextualSpacing w:val="0"/>
        <w:jc w:val="left"/>
      </w:pPr>
      <w:r w:rsidRPr="00E95B63">
        <w:rPr>
          <w:b/>
        </w:rPr>
        <w:t>ewaluacje wdrożeniowe</w:t>
      </w:r>
      <w:r w:rsidRPr="00E95B63">
        <w:t xml:space="preserve"> – dotyczące sposobu realizacji programu i możliwości usprawnienia  - tego typu ewaluacje powinny być prowadzone głównie w początkowym okresie realizacji programu</w:t>
      </w:r>
      <w:r>
        <w:t>;</w:t>
      </w:r>
    </w:p>
    <w:p w:rsidR="00264C5B" w:rsidRPr="00E95B63" w:rsidRDefault="00264C5B" w:rsidP="006E6138">
      <w:pPr>
        <w:pStyle w:val="Akapitzlist"/>
        <w:numPr>
          <w:ilvl w:val="0"/>
          <w:numId w:val="57"/>
        </w:numPr>
        <w:spacing w:before="120" w:after="120"/>
        <w:contextualSpacing w:val="0"/>
        <w:jc w:val="left"/>
      </w:pPr>
      <w:r w:rsidRPr="00E95B63">
        <w:rPr>
          <w:b/>
        </w:rPr>
        <w:t>ewaluacje wpływu</w:t>
      </w:r>
      <w:r w:rsidRPr="00E95B63">
        <w:t xml:space="preserve"> – pozwalające na oszacowaniu wpływu interwencji na osiąganie założonych w programie rezultatów strategicznych. </w:t>
      </w:r>
    </w:p>
    <w:p w:rsidR="00264C5B" w:rsidRDefault="00264C5B" w:rsidP="00264C5B">
      <w:r>
        <w:t xml:space="preserve">Dodatkowo, w wybranych obszarach, wskazane jest przeprowadzenie dodatkowej ewaluacji ex-ante, która pozwoli na pogłębioną analizę potrzeb oraz przyjętych mechanizmów i zasad wyboru projektów i ich wdrażania. Jest to szczególnie uzasadnione w przypadkach, kiedy interwencja ulega istotnym zmianom (np. rewitalizacja) lub jest to obszar stosunkowo nowy (np. usługi społeczne). </w:t>
      </w:r>
    </w:p>
    <w:p w:rsidR="00264C5B" w:rsidRDefault="00264C5B" w:rsidP="00264C5B">
      <w:r>
        <w:t>Poniżej zaprezentowano dwie tabele, w których omówiono propozycję badań ewaluacyjnych, z</w:t>
      </w:r>
      <w:r w:rsidR="002F7C58">
        <w:t> </w:t>
      </w:r>
      <w:r>
        <w:t xml:space="preserve"> odniesieniem do głównych rezultatów programu oraz zagadnień związanych z różnymi aspektami procesu wdrażania. Dla każdego z tematów uszczegółowiono:</w:t>
      </w:r>
    </w:p>
    <w:p w:rsidR="00264C5B" w:rsidRDefault="00264C5B" w:rsidP="006E6138">
      <w:pPr>
        <w:pStyle w:val="ListParagraph1"/>
        <w:numPr>
          <w:ilvl w:val="0"/>
          <w:numId w:val="55"/>
        </w:numPr>
        <w:jc w:val="both"/>
      </w:pPr>
      <w:r>
        <w:t>proponowaną koncepcję badania wraz z metodami,</w:t>
      </w:r>
    </w:p>
    <w:p w:rsidR="00264C5B" w:rsidRDefault="00264C5B" w:rsidP="006E6138">
      <w:pPr>
        <w:pStyle w:val="ListParagraph1"/>
        <w:numPr>
          <w:ilvl w:val="0"/>
          <w:numId w:val="55"/>
        </w:numPr>
        <w:jc w:val="both"/>
      </w:pPr>
      <w:r>
        <w:t>źródła danych,</w:t>
      </w:r>
    </w:p>
    <w:p w:rsidR="00264C5B" w:rsidRDefault="00264C5B" w:rsidP="006E6138">
      <w:pPr>
        <w:pStyle w:val="ListParagraph1"/>
        <w:numPr>
          <w:ilvl w:val="0"/>
          <w:numId w:val="55"/>
        </w:numPr>
        <w:jc w:val="both"/>
      </w:pPr>
      <w:r>
        <w:t>termin realizacji,</w:t>
      </w:r>
    </w:p>
    <w:p w:rsidR="00264C5B" w:rsidRDefault="00264C5B" w:rsidP="006E6138">
      <w:pPr>
        <w:pStyle w:val="ListParagraph1"/>
        <w:numPr>
          <w:ilvl w:val="0"/>
          <w:numId w:val="55"/>
        </w:numPr>
        <w:jc w:val="both"/>
      </w:pPr>
      <w:r>
        <w:t xml:space="preserve">szacunkowy budżet badania. </w:t>
      </w:r>
    </w:p>
    <w:p w:rsidR="00264C5B" w:rsidRDefault="00264C5B" w:rsidP="00264C5B">
      <w:r>
        <w:t>W odniesieniu do ostatniej kwestii zastosowano podział na trzy kategorie:</w:t>
      </w:r>
    </w:p>
    <w:p w:rsidR="00264C5B" w:rsidRDefault="00264C5B" w:rsidP="006E6138">
      <w:pPr>
        <w:pStyle w:val="ListParagraph1"/>
        <w:numPr>
          <w:ilvl w:val="0"/>
          <w:numId w:val="56"/>
        </w:numPr>
        <w:jc w:val="both"/>
      </w:pPr>
      <w:r>
        <w:t>badania małe – do 100 tys. zł,</w:t>
      </w:r>
    </w:p>
    <w:p w:rsidR="00264C5B" w:rsidRDefault="00264C5B" w:rsidP="006E6138">
      <w:pPr>
        <w:pStyle w:val="ListParagraph1"/>
        <w:numPr>
          <w:ilvl w:val="0"/>
          <w:numId w:val="56"/>
        </w:numPr>
        <w:jc w:val="both"/>
      </w:pPr>
      <w:r>
        <w:t>badania średnie – do 250 tys. zł,</w:t>
      </w:r>
    </w:p>
    <w:p w:rsidR="00264C5B" w:rsidRDefault="00264C5B" w:rsidP="006E6138">
      <w:pPr>
        <w:pStyle w:val="ListParagraph1"/>
        <w:numPr>
          <w:ilvl w:val="0"/>
          <w:numId w:val="56"/>
        </w:numPr>
        <w:jc w:val="both"/>
      </w:pPr>
      <w:r>
        <w:t>badania duże – powyżej 250 tys. zł.</w:t>
      </w:r>
    </w:p>
    <w:p w:rsidR="00264C5B" w:rsidRDefault="00264C5B" w:rsidP="00264C5B">
      <w:pPr>
        <w:pStyle w:val="ListParagraph1"/>
        <w:ind w:left="0"/>
        <w:jc w:val="both"/>
      </w:pPr>
    </w:p>
    <w:p w:rsidR="00264C5B" w:rsidRDefault="00264C5B" w:rsidP="00264C5B">
      <w:r w:rsidRPr="006E709E">
        <w:t>Wstępna analizę zagadnień związanych z organizacją procesu ewaluacji (zasoby ludzkie, potencjał instytucjonalny) przedstawiono w części głównej raportu (rozdział 5).</w:t>
      </w:r>
      <w:r>
        <w:t xml:space="preserve"> </w:t>
      </w:r>
    </w:p>
    <w:p w:rsidR="00264C5B" w:rsidRDefault="00264C5B">
      <w:pPr>
        <w:jc w:val="left"/>
        <w:sectPr w:rsidR="00264C5B" w:rsidSect="00607AE2">
          <w:footerReference w:type="first" r:id="rId73"/>
          <w:pgSz w:w="11906" w:h="16838"/>
          <w:pgMar w:top="1985" w:right="1418" w:bottom="1418" w:left="1418" w:header="708" w:footer="708" w:gutter="0"/>
          <w:cols w:space="708"/>
          <w:docGrid w:linePitch="360"/>
        </w:sectPr>
      </w:pPr>
    </w:p>
    <w:p w:rsidR="00264C5B" w:rsidRDefault="00264C5B" w:rsidP="00264C5B">
      <w:pPr>
        <w:pStyle w:val="Nagwek3"/>
      </w:pPr>
      <w:r>
        <w:lastRenderedPageBreak/>
        <w:t>Proponowane badania wdrożeniowe</w:t>
      </w:r>
    </w:p>
    <w:tbl>
      <w:tblPr>
        <w:tblW w:w="5000" w:type="pct"/>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A0"/>
      </w:tblPr>
      <w:tblGrid>
        <w:gridCol w:w="2751"/>
        <w:gridCol w:w="3662"/>
        <w:gridCol w:w="3321"/>
        <w:gridCol w:w="2374"/>
        <w:gridCol w:w="2110"/>
      </w:tblGrid>
      <w:tr w:rsidR="00264C5B" w:rsidRPr="00F620DA" w:rsidTr="00062188">
        <w:trPr>
          <w:tblHeader/>
          <w:jc w:val="center"/>
        </w:trPr>
        <w:tc>
          <w:tcPr>
            <w:tcW w:w="2752" w:type="dxa"/>
            <w:shd w:val="clear" w:color="auto" w:fill="4F81BD"/>
            <w:vAlign w:val="center"/>
          </w:tcPr>
          <w:p w:rsidR="00264C5B" w:rsidRPr="00F620DA" w:rsidRDefault="00264C5B" w:rsidP="00062188">
            <w:pPr>
              <w:spacing w:before="60" w:after="60" w:line="240" w:lineRule="auto"/>
              <w:jc w:val="center"/>
              <w:rPr>
                <w:b/>
                <w:color w:val="FFFFFF"/>
              </w:rPr>
            </w:pPr>
            <w:r w:rsidRPr="00F620DA">
              <w:rPr>
                <w:b/>
                <w:color w:val="FFFFFF"/>
              </w:rPr>
              <w:t>proponowana tematyka badań</w:t>
            </w:r>
          </w:p>
        </w:tc>
        <w:tc>
          <w:tcPr>
            <w:tcW w:w="3663" w:type="dxa"/>
            <w:shd w:val="clear" w:color="auto" w:fill="4F81BD"/>
            <w:vAlign w:val="center"/>
          </w:tcPr>
          <w:p w:rsidR="00264C5B" w:rsidRPr="00F620DA" w:rsidRDefault="00264C5B" w:rsidP="00062188">
            <w:pPr>
              <w:spacing w:before="60" w:after="60" w:line="240" w:lineRule="auto"/>
              <w:jc w:val="center"/>
              <w:rPr>
                <w:b/>
                <w:color w:val="FFFFFF"/>
              </w:rPr>
            </w:pPr>
            <w:r w:rsidRPr="00F620DA">
              <w:rPr>
                <w:b/>
                <w:color w:val="FFFFFF"/>
              </w:rPr>
              <w:t>proponowane podejście (w tym metody badawcze), kluczowe elementy badania</w:t>
            </w:r>
          </w:p>
        </w:tc>
        <w:tc>
          <w:tcPr>
            <w:tcW w:w="3321" w:type="dxa"/>
            <w:shd w:val="clear" w:color="auto" w:fill="4F81BD"/>
            <w:vAlign w:val="center"/>
          </w:tcPr>
          <w:p w:rsidR="00264C5B" w:rsidRPr="00F620DA" w:rsidRDefault="00264C5B" w:rsidP="00062188">
            <w:pPr>
              <w:spacing w:before="60" w:after="60" w:line="240" w:lineRule="auto"/>
              <w:jc w:val="center"/>
              <w:rPr>
                <w:b/>
                <w:color w:val="FFFFFF"/>
              </w:rPr>
            </w:pPr>
            <w:r w:rsidRPr="00F620DA">
              <w:rPr>
                <w:b/>
                <w:color w:val="FFFFFF"/>
              </w:rPr>
              <w:t>źródła i zakres danych sugerowanych do wykorzystania w ewaluacji</w:t>
            </w:r>
          </w:p>
        </w:tc>
        <w:tc>
          <w:tcPr>
            <w:tcW w:w="2374" w:type="dxa"/>
            <w:shd w:val="clear" w:color="auto" w:fill="4F81BD"/>
            <w:vAlign w:val="center"/>
          </w:tcPr>
          <w:p w:rsidR="00264C5B" w:rsidRPr="00F620DA" w:rsidRDefault="00264C5B" w:rsidP="00062188">
            <w:pPr>
              <w:spacing w:before="60" w:after="60" w:line="240" w:lineRule="auto"/>
              <w:jc w:val="center"/>
              <w:rPr>
                <w:b/>
                <w:color w:val="FFFFFF"/>
              </w:rPr>
            </w:pPr>
            <w:r w:rsidRPr="00F620DA">
              <w:rPr>
                <w:b/>
                <w:color w:val="FFFFFF"/>
              </w:rPr>
              <w:t>termin realizacji</w:t>
            </w:r>
          </w:p>
        </w:tc>
        <w:tc>
          <w:tcPr>
            <w:tcW w:w="2110" w:type="dxa"/>
            <w:shd w:val="clear" w:color="auto" w:fill="4F81BD"/>
            <w:vAlign w:val="center"/>
          </w:tcPr>
          <w:p w:rsidR="00264C5B" w:rsidRPr="00F620DA" w:rsidRDefault="00264C5B" w:rsidP="00062188">
            <w:pPr>
              <w:spacing w:before="60" w:after="60" w:line="240" w:lineRule="auto"/>
              <w:jc w:val="center"/>
              <w:rPr>
                <w:b/>
                <w:color w:val="FFFFFF"/>
              </w:rPr>
            </w:pPr>
            <w:r w:rsidRPr="00F620DA">
              <w:rPr>
                <w:b/>
                <w:color w:val="FFFFFF"/>
              </w:rPr>
              <w:t>wielkość badania</w:t>
            </w:r>
          </w:p>
        </w:tc>
      </w:tr>
      <w:tr w:rsidR="00264C5B" w:rsidRPr="00F620DA" w:rsidTr="00062188">
        <w:trPr>
          <w:trHeight w:val="180"/>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t>ekspertyza kryteriów wyboru projektów</w:t>
            </w:r>
          </w:p>
        </w:tc>
        <w:tc>
          <w:tcPr>
            <w:tcW w:w="3663" w:type="dxa"/>
            <w:vAlign w:val="center"/>
          </w:tcPr>
          <w:p w:rsidR="00264C5B" w:rsidRPr="00F620DA" w:rsidRDefault="00264C5B" w:rsidP="00062188">
            <w:pPr>
              <w:spacing w:before="60" w:after="60" w:line="240" w:lineRule="auto"/>
              <w:jc w:val="center"/>
            </w:pPr>
            <w:r w:rsidRPr="00F620DA">
              <w:t>badanie o charakterze eksperckim: z punktu widzenia trafności i ich wpływu na prawdopodobieństwo wyboru najbardziej adekwatnych przedsięwzięć,</w:t>
            </w:r>
          </w:p>
        </w:tc>
        <w:tc>
          <w:tcPr>
            <w:tcW w:w="3321" w:type="dxa"/>
            <w:vAlign w:val="center"/>
          </w:tcPr>
          <w:p w:rsidR="00264C5B" w:rsidRPr="00F620DA" w:rsidRDefault="00264C5B" w:rsidP="00062188">
            <w:pPr>
              <w:spacing w:before="60" w:after="60" w:line="240" w:lineRule="auto"/>
              <w:jc w:val="center"/>
            </w:pPr>
            <w:r w:rsidRPr="00F620DA">
              <w:t>ocena ekspercka, wywiady z kluczowymi interesariuszami i beneficjentami.</w:t>
            </w:r>
          </w:p>
        </w:tc>
        <w:tc>
          <w:tcPr>
            <w:tcW w:w="2374" w:type="dxa"/>
            <w:vAlign w:val="center"/>
          </w:tcPr>
          <w:p w:rsidR="00264C5B" w:rsidRPr="00F620DA" w:rsidRDefault="00264C5B" w:rsidP="00062188">
            <w:pPr>
              <w:spacing w:before="60" w:after="60" w:line="240" w:lineRule="auto"/>
              <w:jc w:val="center"/>
            </w:pPr>
            <w:r w:rsidRPr="00F620DA">
              <w:t>po opracowaniu pierwszej wersji SzOP</w:t>
            </w:r>
          </w:p>
        </w:tc>
        <w:tc>
          <w:tcPr>
            <w:tcW w:w="2110" w:type="dxa"/>
            <w:vAlign w:val="center"/>
          </w:tcPr>
          <w:p w:rsidR="00264C5B" w:rsidRPr="00F620DA" w:rsidRDefault="00264C5B" w:rsidP="00062188">
            <w:pPr>
              <w:spacing w:before="60" w:after="60" w:line="240" w:lineRule="auto"/>
              <w:jc w:val="center"/>
            </w:pPr>
            <w:r w:rsidRPr="00F620DA">
              <w:t>ekspertyza</w:t>
            </w:r>
          </w:p>
        </w:tc>
      </w:tr>
      <w:tr w:rsidR="00264C5B" w:rsidRPr="00F620DA" w:rsidTr="00062188">
        <w:trPr>
          <w:trHeight w:val="180"/>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t>ocena kryteriów wyboru projektów</w:t>
            </w:r>
          </w:p>
        </w:tc>
        <w:tc>
          <w:tcPr>
            <w:tcW w:w="3663" w:type="dxa"/>
            <w:vAlign w:val="center"/>
          </w:tcPr>
          <w:p w:rsidR="00264C5B" w:rsidRPr="00F620DA" w:rsidRDefault="00264C5B" w:rsidP="00062188">
            <w:pPr>
              <w:spacing w:before="60" w:after="60" w:line="240" w:lineRule="auto"/>
              <w:jc w:val="center"/>
            </w:pPr>
            <w:r w:rsidRPr="00F620DA">
              <w:t>badanie adekwatności i trafności kryteriów wyboru projektów w kontekście celów Programu</w:t>
            </w:r>
          </w:p>
        </w:tc>
        <w:tc>
          <w:tcPr>
            <w:tcW w:w="3321" w:type="dxa"/>
            <w:vAlign w:val="center"/>
          </w:tcPr>
          <w:p w:rsidR="00264C5B" w:rsidRPr="00F620DA" w:rsidRDefault="00264C5B" w:rsidP="00062188">
            <w:pPr>
              <w:spacing w:before="60" w:after="60" w:line="240" w:lineRule="auto"/>
              <w:jc w:val="center"/>
            </w:pPr>
            <w:r w:rsidRPr="00F620DA">
              <w:t>analiza dokumentacji pierwszych konkursów</w:t>
            </w:r>
          </w:p>
        </w:tc>
        <w:tc>
          <w:tcPr>
            <w:tcW w:w="2374" w:type="dxa"/>
            <w:vAlign w:val="center"/>
          </w:tcPr>
          <w:p w:rsidR="00264C5B" w:rsidRPr="00F620DA" w:rsidRDefault="00264C5B" w:rsidP="00062188">
            <w:pPr>
              <w:spacing w:before="60" w:after="60" w:line="240" w:lineRule="auto"/>
              <w:jc w:val="center"/>
            </w:pPr>
            <w:r w:rsidRPr="00F620DA">
              <w:t>po dokonaniu wyboru projektów w pierwszych konkursach</w:t>
            </w:r>
          </w:p>
        </w:tc>
        <w:tc>
          <w:tcPr>
            <w:tcW w:w="2110" w:type="dxa"/>
            <w:vAlign w:val="center"/>
          </w:tcPr>
          <w:p w:rsidR="00264C5B" w:rsidRPr="00F620DA" w:rsidRDefault="00264C5B" w:rsidP="00062188">
            <w:pPr>
              <w:spacing w:before="60" w:after="60" w:line="240" w:lineRule="auto"/>
              <w:jc w:val="center"/>
            </w:pPr>
            <w:r w:rsidRPr="00F620DA">
              <w:t>średnie</w:t>
            </w:r>
          </w:p>
        </w:tc>
      </w:tr>
      <w:tr w:rsidR="00264C5B" w:rsidRPr="00F620DA" w:rsidTr="00062188">
        <w:trPr>
          <w:trHeight w:val="180"/>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t>ocena systemu wskaźników, w tym szczególnie z punktu widzenia spełnienia kryteriów jakości danych</w:t>
            </w:r>
          </w:p>
        </w:tc>
        <w:tc>
          <w:tcPr>
            <w:tcW w:w="3663" w:type="dxa"/>
            <w:vAlign w:val="center"/>
          </w:tcPr>
          <w:p w:rsidR="00264C5B" w:rsidRPr="00F620DA" w:rsidRDefault="00264C5B" w:rsidP="00062188">
            <w:pPr>
              <w:spacing w:before="60" w:after="60" w:line="240" w:lineRule="auto"/>
              <w:jc w:val="center"/>
            </w:pPr>
            <w:r w:rsidRPr="00F620DA">
              <w:t>analiza systemu wskaźników i jakości danych monitoringowych</w:t>
            </w:r>
          </w:p>
        </w:tc>
        <w:tc>
          <w:tcPr>
            <w:tcW w:w="3321" w:type="dxa"/>
            <w:vAlign w:val="center"/>
          </w:tcPr>
          <w:p w:rsidR="00264C5B" w:rsidRPr="00F620DA" w:rsidRDefault="00264C5B" w:rsidP="00062188">
            <w:pPr>
              <w:spacing w:before="60" w:after="60" w:line="240" w:lineRule="auto"/>
              <w:ind w:left="20"/>
              <w:jc w:val="center"/>
            </w:pPr>
            <w:r w:rsidRPr="00F620DA">
              <w:t>analiza danych zastanych</w:t>
            </w:r>
          </w:p>
          <w:p w:rsidR="00264C5B" w:rsidRPr="00F620DA" w:rsidRDefault="00264C5B" w:rsidP="00062188">
            <w:pPr>
              <w:spacing w:before="60" w:after="60" w:line="240" w:lineRule="auto"/>
              <w:ind w:left="20"/>
              <w:jc w:val="center"/>
            </w:pPr>
            <w:r w:rsidRPr="00F620DA">
              <w:t>wywiady z kluczowymi interesariuszami,</w:t>
            </w:r>
          </w:p>
          <w:p w:rsidR="00264C5B" w:rsidRPr="00F620DA" w:rsidRDefault="00264C5B" w:rsidP="00062188">
            <w:pPr>
              <w:spacing w:before="60" w:after="60" w:line="240" w:lineRule="auto"/>
              <w:ind w:left="20"/>
              <w:jc w:val="center"/>
            </w:pPr>
            <w:r w:rsidRPr="00F620DA">
              <w:t>Ocena ekspercka.</w:t>
            </w:r>
          </w:p>
        </w:tc>
        <w:tc>
          <w:tcPr>
            <w:tcW w:w="2374" w:type="dxa"/>
            <w:vAlign w:val="center"/>
          </w:tcPr>
          <w:p w:rsidR="00264C5B" w:rsidRPr="00F620DA" w:rsidRDefault="00264C5B" w:rsidP="00062188">
            <w:pPr>
              <w:spacing w:before="60" w:after="60" w:line="240" w:lineRule="auto"/>
              <w:jc w:val="center"/>
            </w:pPr>
            <w:r w:rsidRPr="00F620DA">
              <w:t>co najmniej raz na dwa lata</w:t>
            </w:r>
          </w:p>
        </w:tc>
        <w:tc>
          <w:tcPr>
            <w:tcW w:w="2110" w:type="dxa"/>
            <w:vAlign w:val="center"/>
          </w:tcPr>
          <w:p w:rsidR="00264C5B" w:rsidRPr="00F620DA" w:rsidRDefault="00264C5B" w:rsidP="00062188">
            <w:pPr>
              <w:spacing w:before="60" w:after="60" w:line="240" w:lineRule="auto"/>
              <w:jc w:val="center"/>
            </w:pPr>
            <w:r w:rsidRPr="00F620DA">
              <w:t>średnie</w:t>
            </w:r>
          </w:p>
        </w:tc>
      </w:tr>
      <w:tr w:rsidR="00264C5B" w:rsidRPr="00F620DA" w:rsidTr="00062188">
        <w:trPr>
          <w:trHeight w:val="178"/>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t>ocena prawidłowości oszacowania wartości wskaźników, (ze szczególnym uwzględnieniem wskaźników wytypowanych do ram wykonania)</w:t>
            </w:r>
          </w:p>
        </w:tc>
        <w:tc>
          <w:tcPr>
            <w:tcW w:w="3663" w:type="dxa"/>
            <w:vAlign w:val="center"/>
          </w:tcPr>
          <w:p w:rsidR="00264C5B" w:rsidRPr="00F620DA" w:rsidRDefault="00264C5B" w:rsidP="00062188">
            <w:pPr>
              <w:spacing w:before="60" w:after="60" w:line="240" w:lineRule="auto"/>
              <w:jc w:val="center"/>
            </w:pPr>
            <w:r w:rsidRPr="00F620DA">
              <w:t>Ocena na podstawie analizy danych zastanych - urealnienie założeń szacowania przyjętych na podstawie rozstrzygnięć pierwszych konkursów</w:t>
            </w:r>
          </w:p>
        </w:tc>
        <w:tc>
          <w:tcPr>
            <w:tcW w:w="3321" w:type="dxa"/>
            <w:vAlign w:val="center"/>
          </w:tcPr>
          <w:p w:rsidR="00264C5B" w:rsidRPr="00F620DA" w:rsidRDefault="00264C5B" w:rsidP="00062188">
            <w:pPr>
              <w:spacing w:before="60" w:after="60" w:line="240" w:lineRule="auto"/>
              <w:ind w:left="20"/>
              <w:jc w:val="center"/>
            </w:pPr>
            <w:r w:rsidRPr="00F620DA">
              <w:t>analiza danych zastanych:</w:t>
            </w:r>
          </w:p>
          <w:p w:rsidR="00264C5B" w:rsidRPr="00F620DA" w:rsidRDefault="00264C5B" w:rsidP="00062188">
            <w:pPr>
              <w:spacing w:before="60" w:after="60" w:line="240" w:lineRule="auto"/>
              <w:ind w:left="20"/>
              <w:jc w:val="center"/>
            </w:pPr>
            <w:r w:rsidRPr="00F620DA">
              <w:t>dane z systemu monitorowania, dane ze statystyki publicznej, dane branżowe, dane od kluczowych partnerów i beneficjentów</w:t>
            </w:r>
          </w:p>
        </w:tc>
        <w:tc>
          <w:tcPr>
            <w:tcW w:w="2374" w:type="dxa"/>
            <w:vAlign w:val="center"/>
          </w:tcPr>
          <w:p w:rsidR="00264C5B" w:rsidRPr="00F620DA" w:rsidRDefault="00264C5B" w:rsidP="00062188">
            <w:pPr>
              <w:spacing w:before="60" w:after="60" w:line="240" w:lineRule="auto"/>
              <w:jc w:val="center"/>
            </w:pPr>
            <w:r w:rsidRPr="00F620DA">
              <w:t>do dwóch lat od rozpoczęcia wdrażania programu</w:t>
            </w:r>
          </w:p>
        </w:tc>
        <w:tc>
          <w:tcPr>
            <w:tcW w:w="2110" w:type="dxa"/>
            <w:vAlign w:val="center"/>
          </w:tcPr>
          <w:p w:rsidR="00264C5B" w:rsidRPr="00F620DA" w:rsidRDefault="00264C5B" w:rsidP="00062188">
            <w:pPr>
              <w:spacing w:before="60" w:after="60" w:line="240" w:lineRule="auto"/>
              <w:jc w:val="center"/>
            </w:pPr>
            <w:r w:rsidRPr="00F620DA">
              <w:t>małe</w:t>
            </w:r>
          </w:p>
        </w:tc>
      </w:tr>
      <w:tr w:rsidR="00264C5B" w:rsidRPr="00F620DA" w:rsidTr="00062188">
        <w:trPr>
          <w:trHeight w:val="178"/>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t xml:space="preserve">badanie poziomu świadomości dostępności wsparcia różnych kategorii </w:t>
            </w:r>
            <w:r w:rsidRPr="00F620DA">
              <w:rPr>
                <w:b/>
              </w:rPr>
              <w:lastRenderedPageBreak/>
              <w:t>beneficjentów</w:t>
            </w:r>
          </w:p>
        </w:tc>
        <w:tc>
          <w:tcPr>
            <w:tcW w:w="3663" w:type="dxa"/>
            <w:vAlign w:val="center"/>
          </w:tcPr>
          <w:p w:rsidR="00264C5B" w:rsidRPr="00F620DA" w:rsidRDefault="00264C5B" w:rsidP="00062188">
            <w:pPr>
              <w:spacing w:before="60" w:after="60" w:line="240" w:lineRule="auto"/>
              <w:jc w:val="center"/>
            </w:pPr>
            <w:r w:rsidRPr="00F620DA">
              <w:lastRenderedPageBreak/>
              <w:t>ocena powinna być skoordynowana z badaniami RPO WP 2007-2013</w:t>
            </w:r>
          </w:p>
        </w:tc>
        <w:tc>
          <w:tcPr>
            <w:tcW w:w="3321" w:type="dxa"/>
            <w:vAlign w:val="center"/>
          </w:tcPr>
          <w:p w:rsidR="00264C5B" w:rsidRPr="00F620DA" w:rsidRDefault="00264C5B" w:rsidP="00062188">
            <w:pPr>
              <w:spacing w:before="60" w:after="60" w:line="240" w:lineRule="auto"/>
              <w:jc w:val="center"/>
            </w:pPr>
            <w:r w:rsidRPr="00F620DA">
              <w:t>badania opinii publicznej, badania kluczowych kategorii beneficjentów.</w:t>
            </w:r>
          </w:p>
        </w:tc>
        <w:tc>
          <w:tcPr>
            <w:tcW w:w="2374" w:type="dxa"/>
            <w:vAlign w:val="center"/>
          </w:tcPr>
          <w:p w:rsidR="00264C5B" w:rsidRPr="00F620DA" w:rsidRDefault="00264C5B" w:rsidP="00062188">
            <w:pPr>
              <w:spacing w:before="60" w:after="60" w:line="240" w:lineRule="auto"/>
              <w:jc w:val="center"/>
            </w:pPr>
            <w:r w:rsidRPr="00F620DA">
              <w:t xml:space="preserve">na początku realizacji programu (ew. koordynacja z </w:t>
            </w:r>
            <w:r w:rsidRPr="00F620DA">
              <w:lastRenderedPageBreak/>
              <w:t>badaniem ex-post RPO WP 2007-2013), powtarzane co trzy lata</w:t>
            </w:r>
          </w:p>
        </w:tc>
        <w:tc>
          <w:tcPr>
            <w:tcW w:w="2110" w:type="dxa"/>
            <w:vAlign w:val="center"/>
          </w:tcPr>
          <w:p w:rsidR="00264C5B" w:rsidRPr="00F620DA" w:rsidRDefault="00264C5B" w:rsidP="00062188">
            <w:pPr>
              <w:spacing w:before="60" w:after="60" w:line="240" w:lineRule="auto"/>
              <w:jc w:val="center"/>
            </w:pPr>
            <w:r w:rsidRPr="00F620DA">
              <w:lastRenderedPageBreak/>
              <w:t>małe</w:t>
            </w:r>
          </w:p>
        </w:tc>
      </w:tr>
      <w:tr w:rsidR="00264C5B" w:rsidRPr="008357B2" w:rsidTr="00062188">
        <w:trPr>
          <w:trHeight w:val="178"/>
          <w:jc w:val="center"/>
        </w:trPr>
        <w:tc>
          <w:tcPr>
            <w:tcW w:w="2752" w:type="dxa"/>
            <w:shd w:val="clear" w:color="auto" w:fill="F2F2F2" w:themeFill="background1" w:themeFillShade="F2"/>
            <w:vAlign w:val="center"/>
          </w:tcPr>
          <w:p w:rsidR="00264C5B" w:rsidRPr="00F620DA" w:rsidRDefault="00264C5B" w:rsidP="00062188">
            <w:pPr>
              <w:spacing w:before="60" w:after="60" w:line="240" w:lineRule="auto"/>
              <w:ind w:left="5"/>
              <w:jc w:val="center"/>
              <w:rPr>
                <w:b/>
              </w:rPr>
            </w:pPr>
            <w:r w:rsidRPr="00F620DA">
              <w:rPr>
                <w:b/>
              </w:rPr>
              <w:lastRenderedPageBreak/>
              <w:t>ocena procedur aplikowania o środki, rozliczania projektów i kontroli pod kątem uproszczenia, w tym pomiar obciążeń administracyjnych beneficjentów</w:t>
            </w:r>
          </w:p>
        </w:tc>
        <w:tc>
          <w:tcPr>
            <w:tcW w:w="3663" w:type="dxa"/>
            <w:vAlign w:val="center"/>
          </w:tcPr>
          <w:p w:rsidR="00264C5B" w:rsidRPr="00F620DA" w:rsidRDefault="00264C5B" w:rsidP="00062188">
            <w:pPr>
              <w:spacing w:before="60" w:after="60" w:line="240" w:lineRule="auto"/>
              <w:jc w:val="center"/>
            </w:pPr>
            <w:r w:rsidRPr="00F620DA">
              <w:t>analiza kluczowych procesów w ramach RPO WP 2014-2020 z punktu widzenia sprawności wdrażania, ograniczenia ryzyka nieprawidłowości i obciążeń administracyjnych.</w:t>
            </w:r>
          </w:p>
        </w:tc>
        <w:tc>
          <w:tcPr>
            <w:tcW w:w="3321" w:type="dxa"/>
            <w:vAlign w:val="center"/>
          </w:tcPr>
          <w:p w:rsidR="00264C5B" w:rsidRPr="00F620DA" w:rsidRDefault="00264C5B" w:rsidP="00062188">
            <w:pPr>
              <w:spacing w:before="60" w:after="60" w:line="240" w:lineRule="auto"/>
              <w:jc w:val="center"/>
            </w:pPr>
            <w:r w:rsidRPr="00F620DA">
              <w:t>analiza danych zastanych (informacji od instytucji zaangażowanych w system realizacji), badanie kwestionariuszowe beneficejentów</w:t>
            </w:r>
          </w:p>
        </w:tc>
        <w:tc>
          <w:tcPr>
            <w:tcW w:w="2374" w:type="dxa"/>
            <w:vAlign w:val="center"/>
          </w:tcPr>
          <w:p w:rsidR="00264C5B" w:rsidRPr="00F620DA" w:rsidRDefault="00264C5B" w:rsidP="00062188">
            <w:pPr>
              <w:spacing w:before="60" w:after="60" w:line="240" w:lineRule="auto"/>
              <w:jc w:val="center"/>
            </w:pPr>
            <w:r w:rsidRPr="00F620DA">
              <w:t>na początku realizacji programu</w:t>
            </w:r>
          </w:p>
        </w:tc>
        <w:tc>
          <w:tcPr>
            <w:tcW w:w="2110" w:type="dxa"/>
            <w:vAlign w:val="center"/>
          </w:tcPr>
          <w:p w:rsidR="00264C5B" w:rsidRPr="008357B2" w:rsidRDefault="00264C5B" w:rsidP="00062188">
            <w:pPr>
              <w:spacing w:before="60" w:after="60" w:line="240" w:lineRule="auto"/>
              <w:jc w:val="center"/>
            </w:pPr>
            <w:r w:rsidRPr="00F620DA">
              <w:t>średnie</w:t>
            </w:r>
          </w:p>
        </w:tc>
      </w:tr>
    </w:tbl>
    <w:p w:rsidR="00264C5B" w:rsidRDefault="00264C5B" w:rsidP="00264C5B"/>
    <w:p w:rsidR="00264C5B" w:rsidRDefault="00264C5B" w:rsidP="00264C5B">
      <w:pPr>
        <w:pStyle w:val="Nagwek3"/>
      </w:pPr>
      <w:r>
        <w:t>Proponowane  badania tematyczne/badania wpływu</w:t>
      </w:r>
    </w:p>
    <w:tbl>
      <w:tblPr>
        <w:tblStyle w:val="Tabela-Siatka"/>
        <w:tblW w:w="5500" w:type="pct"/>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1911"/>
        <w:gridCol w:w="2393"/>
        <w:gridCol w:w="3966"/>
        <w:gridCol w:w="3446"/>
        <w:gridCol w:w="2036"/>
        <w:gridCol w:w="1888"/>
      </w:tblGrid>
      <w:tr w:rsidR="00264C5B" w:rsidRPr="00F620DA" w:rsidTr="00062188">
        <w:trPr>
          <w:tblHeader/>
          <w:jc w:val="center"/>
        </w:trPr>
        <w:tc>
          <w:tcPr>
            <w:tcW w:w="19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hideMark/>
          </w:tcPr>
          <w:p w:rsidR="00264C5B" w:rsidRPr="00F620DA" w:rsidRDefault="00264C5B" w:rsidP="00264C5B">
            <w:pPr>
              <w:spacing w:before="60" w:after="60"/>
              <w:jc w:val="left"/>
              <w:rPr>
                <w:b/>
                <w:color w:val="FFFFFF" w:themeColor="background1"/>
              </w:rPr>
            </w:pPr>
            <w:r w:rsidRPr="00F620DA">
              <w:rPr>
                <w:b/>
                <w:color w:val="FFFFFF" w:themeColor="background1"/>
              </w:rPr>
              <w:t>oś priorytetowa/</w:t>
            </w:r>
            <w:r w:rsidRPr="00F620DA">
              <w:rPr>
                <w:b/>
                <w:color w:val="FFFFFF" w:themeColor="background1"/>
              </w:rPr>
              <w:br/>
              <w:t>obszar</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hideMark/>
          </w:tcPr>
          <w:p w:rsidR="00264C5B" w:rsidRPr="00F620DA" w:rsidRDefault="00264C5B" w:rsidP="00264C5B">
            <w:pPr>
              <w:spacing w:before="60" w:after="60"/>
              <w:jc w:val="left"/>
              <w:rPr>
                <w:b/>
                <w:color w:val="FFFFFF" w:themeColor="background1"/>
              </w:rPr>
            </w:pPr>
            <w:r w:rsidRPr="00F620DA">
              <w:rPr>
                <w:b/>
                <w:color w:val="FFFFFF" w:themeColor="background1"/>
              </w:rPr>
              <w:t>kluczowe rezultaty do weryfikacji w badaniach ewaluacyjnych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hideMark/>
          </w:tcPr>
          <w:p w:rsidR="00264C5B" w:rsidRPr="00F620DA" w:rsidRDefault="00264C5B" w:rsidP="00264C5B">
            <w:pPr>
              <w:spacing w:before="60" w:after="60"/>
              <w:jc w:val="left"/>
              <w:rPr>
                <w:b/>
                <w:color w:val="FFFFFF" w:themeColor="background1"/>
              </w:rPr>
            </w:pPr>
            <w:r w:rsidRPr="00F620DA">
              <w:rPr>
                <w:b/>
                <w:color w:val="FFFFFF" w:themeColor="background1"/>
              </w:rPr>
              <w:t>proponowane podejście (w tym metody badawcze), kluczowe elementy badania</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hideMark/>
          </w:tcPr>
          <w:p w:rsidR="00264C5B" w:rsidRPr="00F620DA" w:rsidRDefault="00264C5B" w:rsidP="00264C5B">
            <w:pPr>
              <w:spacing w:before="60" w:after="60"/>
              <w:jc w:val="left"/>
              <w:rPr>
                <w:b/>
                <w:color w:val="FFFFFF" w:themeColor="background1"/>
              </w:rPr>
            </w:pPr>
            <w:r w:rsidRPr="00F620DA">
              <w:rPr>
                <w:b/>
                <w:color w:val="FFFFFF" w:themeColor="background1"/>
              </w:rPr>
              <w:t>źródła danych wykorzystane w ewaluacji</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hideMark/>
          </w:tcPr>
          <w:p w:rsidR="00264C5B" w:rsidRPr="00F620DA" w:rsidRDefault="00264C5B" w:rsidP="00264C5B">
            <w:pPr>
              <w:spacing w:before="60" w:after="60"/>
              <w:jc w:val="left"/>
              <w:rPr>
                <w:b/>
                <w:color w:val="FFFFFF" w:themeColor="background1"/>
              </w:rPr>
            </w:pPr>
            <w:r w:rsidRPr="00F620DA">
              <w:rPr>
                <w:b/>
                <w:color w:val="FFFFFF" w:themeColor="background1"/>
              </w:rPr>
              <w:t>termin realizacji</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366092" w:themeFill="accent1"/>
            <w:vAlign w:val="center"/>
          </w:tcPr>
          <w:p w:rsidR="00264C5B" w:rsidRPr="00F620DA" w:rsidRDefault="00264C5B" w:rsidP="00264C5B">
            <w:pPr>
              <w:spacing w:before="60" w:after="60"/>
              <w:jc w:val="left"/>
              <w:rPr>
                <w:b/>
                <w:color w:val="FFFFFF" w:themeColor="background1"/>
              </w:rPr>
            </w:pPr>
            <w:r w:rsidRPr="00F620DA">
              <w:rPr>
                <w:b/>
                <w:color w:val="FFFFFF" w:themeColor="background1"/>
              </w:rPr>
              <w:t>wielkość badania</w:t>
            </w:r>
          </w:p>
        </w:tc>
      </w:tr>
      <w:tr w:rsidR="00264C5B" w:rsidRPr="00F620DA" w:rsidTr="00062188">
        <w:trPr>
          <w:trHeight w:val="180"/>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OP I. </w:t>
            </w:r>
            <w:r w:rsidRPr="00F620DA">
              <w:rPr>
                <w:b/>
                <w:i/>
              </w:rPr>
              <w:t>Konkurencyjna i innowacyjna gospodarka</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funkcjonowanie instrumentów finansowych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6E6138">
            <w:pPr>
              <w:pStyle w:val="Akapitzlist"/>
              <w:numPr>
                <w:ilvl w:val="0"/>
                <w:numId w:val="58"/>
              </w:numPr>
              <w:spacing w:before="60" w:after="60"/>
              <w:contextualSpacing w:val="0"/>
              <w:jc w:val="left"/>
            </w:pPr>
            <w:r w:rsidRPr="00F620DA">
              <w:t>ocena dopasowania stworzonej oferty instrumentów finansowych do potrzeb przedsiębiorców</w:t>
            </w:r>
          </w:p>
          <w:p w:rsidR="00264C5B" w:rsidRPr="00F620DA" w:rsidRDefault="00264C5B" w:rsidP="006E6138">
            <w:pPr>
              <w:pStyle w:val="Akapitzlist"/>
              <w:numPr>
                <w:ilvl w:val="0"/>
                <w:numId w:val="58"/>
              </w:numPr>
              <w:spacing w:before="60" w:after="60"/>
              <w:contextualSpacing w:val="0"/>
              <w:jc w:val="left"/>
            </w:pPr>
            <w:r w:rsidRPr="00F620DA">
              <w:t>ocena komplementarności instrumentów finansowych do innych form wsparcia przedsiębiorstw</w:t>
            </w:r>
          </w:p>
          <w:p w:rsidR="00264C5B" w:rsidRPr="00F620DA" w:rsidRDefault="00264C5B" w:rsidP="006E6138">
            <w:pPr>
              <w:pStyle w:val="Akapitzlist"/>
              <w:numPr>
                <w:ilvl w:val="0"/>
                <w:numId w:val="58"/>
              </w:numPr>
              <w:spacing w:before="60" w:after="60"/>
              <w:contextualSpacing w:val="0"/>
              <w:jc w:val="left"/>
            </w:pPr>
            <w:r w:rsidRPr="00F620DA">
              <w:lastRenderedPageBreak/>
              <w:t>rekomendacje dla dalszego wdrażania instrumentów finansowych</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59"/>
              </w:numPr>
              <w:spacing w:before="60" w:after="60"/>
              <w:contextualSpacing w:val="0"/>
              <w:jc w:val="left"/>
            </w:pPr>
            <w:r w:rsidRPr="00F620DA">
              <w:lastRenderedPageBreak/>
              <w:t>dane pierwotne (IZ i pośrednicy finansowi)</w:t>
            </w:r>
          </w:p>
          <w:p w:rsidR="00264C5B" w:rsidRPr="00F620DA" w:rsidRDefault="00264C5B" w:rsidP="006E6138">
            <w:pPr>
              <w:pStyle w:val="Akapitzlist"/>
              <w:numPr>
                <w:ilvl w:val="0"/>
                <w:numId w:val="59"/>
              </w:numPr>
              <w:spacing w:before="60" w:after="60"/>
              <w:contextualSpacing w:val="0"/>
              <w:jc w:val="left"/>
            </w:pPr>
            <w:r w:rsidRPr="00F620DA">
              <w:t>dane wtórne (badanie beneficjentów)</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po pierwszym roku funkcjonowania instrumentów finansowych</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duże</w:t>
            </w:r>
          </w:p>
        </w:tc>
      </w:tr>
      <w:tr w:rsidR="00264C5B" w:rsidRPr="00F620DA" w:rsidTr="00062188">
        <w:trPr>
          <w:trHeight w:val="178"/>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 xml:space="preserve"> przekrojowe badanie wpisywania się interwencji w ramach OP I w założone cele</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0"/>
              </w:numPr>
              <w:spacing w:before="60" w:after="60"/>
              <w:contextualSpacing w:val="0"/>
              <w:jc w:val="left"/>
            </w:pPr>
            <w:r w:rsidRPr="00F620DA">
              <w:t>badanie zgodności kierunków interwencji z założeniami wynikającymi z RPO i jego uszczegółowienia;</w:t>
            </w:r>
          </w:p>
          <w:p w:rsidR="00264C5B" w:rsidRPr="00F620DA" w:rsidRDefault="00264C5B" w:rsidP="006E6138">
            <w:pPr>
              <w:pStyle w:val="Akapitzlist"/>
              <w:numPr>
                <w:ilvl w:val="0"/>
                <w:numId w:val="60"/>
              </w:numPr>
              <w:spacing w:before="60" w:after="60"/>
              <w:contextualSpacing w:val="0"/>
              <w:jc w:val="left"/>
            </w:pPr>
            <w:r w:rsidRPr="00F620DA">
              <w:t>badanie struktury interwencji ze względu na zamierzone efekty;</w:t>
            </w:r>
          </w:p>
          <w:p w:rsidR="00264C5B" w:rsidRPr="00F620DA" w:rsidRDefault="00264C5B" w:rsidP="006E6138">
            <w:pPr>
              <w:pStyle w:val="Akapitzlist"/>
              <w:numPr>
                <w:ilvl w:val="0"/>
                <w:numId w:val="60"/>
              </w:numPr>
              <w:spacing w:before="60" w:after="60"/>
              <w:contextualSpacing w:val="0"/>
              <w:jc w:val="left"/>
            </w:pPr>
            <w:r w:rsidRPr="00F620DA">
              <w:t>badanie oczekiwanych efektów netto (ew. założenia dla pomiaru w kolejnym etapie, np. pierwsza fala badania do powtórzenia pod koniec okresu programowania)</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0"/>
              </w:numPr>
              <w:spacing w:before="60" w:after="60"/>
              <w:contextualSpacing w:val="0"/>
              <w:jc w:val="left"/>
            </w:pPr>
            <w:r w:rsidRPr="00F620DA">
              <w:t>dane pierwotne (ilościowe i jakościowe)</w:t>
            </w:r>
          </w:p>
          <w:p w:rsidR="00264C5B" w:rsidRPr="00F620DA" w:rsidRDefault="00264C5B" w:rsidP="006E6138">
            <w:pPr>
              <w:pStyle w:val="Akapitzlist"/>
              <w:numPr>
                <w:ilvl w:val="0"/>
                <w:numId w:val="60"/>
              </w:numPr>
              <w:spacing w:before="60" w:after="60"/>
              <w:contextualSpacing w:val="0"/>
              <w:jc w:val="left"/>
            </w:pPr>
            <w:r w:rsidRPr="00F620DA">
              <w:t>dane wtórne (badanie beneficjentów)</w:t>
            </w:r>
          </w:p>
          <w:p w:rsidR="00264C5B" w:rsidRPr="00F620DA" w:rsidRDefault="00264C5B" w:rsidP="006E6138">
            <w:pPr>
              <w:pStyle w:val="Akapitzlist"/>
              <w:numPr>
                <w:ilvl w:val="0"/>
                <w:numId w:val="60"/>
              </w:numPr>
              <w:spacing w:before="60" w:after="60"/>
              <w:contextualSpacing w:val="0"/>
              <w:jc w:val="left"/>
            </w:pPr>
            <w:r w:rsidRPr="00F620DA">
              <w:t>dane pochodzące z monitoringu – weryfikacja danych deklarowanych przez beneficjentów (rzeczywiste a deklarowane we wnioskach efekty rzeczowe)</w:t>
            </w:r>
          </w:p>
          <w:p w:rsidR="00264C5B" w:rsidRPr="00F620DA" w:rsidRDefault="00264C5B" w:rsidP="006E6138">
            <w:pPr>
              <w:pStyle w:val="Akapitzlist"/>
              <w:numPr>
                <w:ilvl w:val="0"/>
                <w:numId w:val="60"/>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 kontynuowane w późniejszym okresie dla pomiaru efektu netto</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duże</w:t>
            </w:r>
          </w:p>
        </w:tc>
      </w:tr>
      <w:tr w:rsidR="00264C5B" w:rsidRPr="00F620DA" w:rsidTr="00062188">
        <w:trPr>
          <w:jc w:val="center"/>
        </w:trPr>
        <w:tc>
          <w:tcPr>
            <w:tcW w:w="191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OP II. </w:t>
            </w:r>
            <w:r w:rsidRPr="00F620DA">
              <w:rPr>
                <w:b/>
                <w:i/>
              </w:rPr>
              <w:t>Cyfrowe Podkarpackie</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rozwój e-usług publicznych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6E6138">
            <w:pPr>
              <w:pStyle w:val="Akapitzlist"/>
              <w:numPr>
                <w:ilvl w:val="0"/>
                <w:numId w:val="60"/>
              </w:numPr>
              <w:spacing w:before="60" w:after="60"/>
              <w:contextualSpacing w:val="0"/>
              <w:jc w:val="left"/>
            </w:pPr>
            <w:r w:rsidRPr="00F620DA">
              <w:t>badanie komplementarności interwencji do projektów szczebla centralnego i prywatnych;</w:t>
            </w:r>
          </w:p>
          <w:p w:rsidR="00264C5B" w:rsidRPr="00F620DA" w:rsidRDefault="00264C5B" w:rsidP="006E6138">
            <w:pPr>
              <w:pStyle w:val="Akapitzlist"/>
              <w:numPr>
                <w:ilvl w:val="0"/>
                <w:numId w:val="60"/>
              </w:numPr>
              <w:spacing w:before="60" w:after="60"/>
              <w:contextualSpacing w:val="0"/>
              <w:jc w:val="left"/>
            </w:pPr>
            <w:r w:rsidRPr="00F620DA">
              <w:t>testowanie stopnia koordynacji prowadzonych działań;</w:t>
            </w:r>
          </w:p>
          <w:p w:rsidR="00264C5B" w:rsidRPr="00F620DA" w:rsidRDefault="00264C5B" w:rsidP="006E6138">
            <w:pPr>
              <w:pStyle w:val="Akapitzlist"/>
              <w:numPr>
                <w:ilvl w:val="0"/>
                <w:numId w:val="60"/>
              </w:numPr>
              <w:spacing w:before="60" w:after="60"/>
              <w:contextualSpacing w:val="0"/>
              <w:jc w:val="left"/>
            </w:pPr>
            <w:r w:rsidRPr="00F620DA">
              <w:t xml:space="preserve">badanie zgodności kierunków </w:t>
            </w:r>
            <w:r w:rsidRPr="00F620DA">
              <w:lastRenderedPageBreak/>
              <w:t>interwencji z założeniami wynikającymi z RPO i jego uszczegółowienia</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0"/>
              </w:numPr>
              <w:spacing w:before="60" w:after="60"/>
              <w:contextualSpacing w:val="0"/>
              <w:jc w:val="left"/>
            </w:pPr>
            <w:r w:rsidRPr="00F620DA">
              <w:lastRenderedPageBreak/>
              <w:t>dane pierwotne (ilościowe i jakościowe)</w:t>
            </w:r>
          </w:p>
          <w:p w:rsidR="00264C5B" w:rsidRPr="00F620DA" w:rsidRDefault="00264C5B" w:rsidP="006E6138">
            <w:pPr>
              <w:pStyle w:val="Akapitzlist"/>
              <w:numPr>
                <w:ilvl w:val="0"/>
                <w:numId w:val="60"/>
              </w:numPr>
              <w:spacing w:before="60" w:after="60"/>
              <w:contextualSpacing w:val="0"/>
              <w:jc w:val="left"/>
            </w:pPr>
            <w:r w:rsidRPr="00F620DA">
              <w:t xml:space="preserve">dane pochodzące z monitoringu – weryfikacja danych deklarowanych przez beneficjentów (rzeczywiste a deklarowane </w:t>
            </w:r>
            <w:r w:rsidRPr="00F620DA">
              <w:lastRenderedPageBreak/>
              <w:t>we wnioskach efekty rzeczowe)</w:t>
            </w:r>
          </w:p>
          <w:p w:rsidR="00264C5B" w:rsidRPr="00F620DA" w:rsidRDefault="00264C5B" w:rsidP="006E6138">
            <w:pPr>
              <w:pStyle w:val="Akapitzlist"/>
              <w:numPr>
                <w:ilvl w:val="0"/>
                <w:numId w:val="60"/>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lastRenderedPageBreak/>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małe/średnie</w:t>
            </w:r>
          </w:p>
        </w:tc>
      </w:tr>
      <w:tr w:rsidR="00264C5B" w:rsidRPr="00F620DA" w:rsidTr="00062188">
        <w:trPr>
          <w:jc w:val="center"/>
        </w:trPr>
        <w:tc>
          <w:tcPr>
            <w:tcW w:w="191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rsidR="00264C5B" w:rsidRPr="00F620DA" w:rsidRDefault="00264C5B" w:rsidP="00264C5B">
            <w:pPr>
              <w:spacing w:before="60" w:after="60"/>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264C5B">
            <w:pPr>
              <w:spacing w:before="60" w:after="60"/>
              <w:jc w:val="left"/>
              <w:rPr>
                <w:b/>
              </w:rPr>
            </w:pPr>
            <w:r w:rsidRPr="00F620DA">
              <w:rPr>
                <w:b/>
              </w:rPr>
              <w:t>ekspertyza: zdefiniowanie warunków brzegowych dla realizacji projektów pozakonkursowych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6E6138">
            <w:pPr>
              <w:pStyle w:val="Akapitzlist"/>
              <w:numPr>
                <w:ilvl w:val="0"/>
                <w:numId w:val="60"/>
              </w:numPr>
              <w:spacing w:before="60" w:after="60"/>
              <w:contextualSpacing w:val="0"/>
              <w:jc w:val="left"/>
            </w:pPr>
            <w:r w:rsidRPr="00F620DA">
              <w:t>weryfikacja listy projektów pozakonkursowych</w:t>
            </w:r>
          </w:p>
          <w:p w:rsidR="00264C5B" w:rsidRPr="00F620DA" w:rsidRDefault="00264C5B" w:rsidP="006E6138">
            <w:pPr>
              <w:pStyle w:val="Akapitzlist"/>
              <w:numPr>
                <w:ilvl w:val="0"/>
                <w:numId w:val="60"/>
              </w:numPr>
              <w:spacing w:before="60" w:after="60"/>
              <w:contextualSpacing w:val="0"/>
              <w:jc w:val="left"/>
            </w:pPr>
            <w:r w:rsidRPr="00F620DA">
              <w:t>określenie potencjalnych synergii na poziomie krajowym i regionalnym</w:t>
            </w:r>
          </w:p>
          <w:p w:rsidR="00264C5B" w:rsidRPr="00F620DA" w:rsidRDefault="00264C5B" w:rsidP="006E6138">
            <w:pPr>
              <w:pStyle w:val="Akapitzlist"/>
              <w:numPr>
                <w:ilvl w:val="0"/>
                <w:numId w:val="60"/>
              </w:numPr>
              <w:spacing w:before="60" w:after="60"/>
              <w:contextualSpacing w:val="0"/>
              <w:jc w:val="left"/>
            </w:pPr>
            <w:r w:rsidRPr="00F620DA">
              <w:t>identyfikacja optymalnej ścieżki realizacji projektów</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6E6138">
            <w:pPr>
              <w:pStyle w:val="Akapitzlist"/>
              <w:numPr>
                <w:ilvl w:val="0"/>
                <w:numId w:val="60"/>
              </w:numPr>
              <w:spacing w:before="60" w:after="60"/>
              <w:contextualSpacing w:val="0"/>
              <w:jc w:val="left"/>
            </w:pPr>
            <w:r w:rsidRPr="00F620DA">
              <w:t>dane kontekstowe pochodzące ze źródeł statystyki publicznej (potrzeby)</w:t>
            </w:r>
          </w:p>
          <w:p w:rsidR="00264C5B" w:rsidRPr="00F620DA" w:rsidRDefault="00264C5B" w:rsidP="006E6138">
            <w:pPr>
              <w:pStyle w:val="Akapitzlist"/>
              <w:numPr>
                <w:ilvl w:val="0"/>
                <w:numId w:val="60"/>
              </w:numPr>
              <w:spacing w:before="60" w:after="60"/>
              <w:contextualSpacing w:val="0"/>
              <w:jc w:val="left"/>
            </w:pPr>
            <w:r w:rsidRPr="00F620DA">
              <w:t>wstępne koncepcje projektów</w:t>
            </w:r>
          </w:p>
          <w:p w:rsidR="00264C5B" w:rsidRPr="00F620DA" w:rsidRDefault="00264C5B" w:rsidP="006E6138">
            <w:pPr>
              <w:pStyle w:val="Akapitzlist"/>
              <w:numPr>
                <w:ilvl w:val="0"/>
                <w:numId w:val="60"/>
              </w:numPr>
              <w:spacing w:before="60" w:after="60"/>
              <w:contextualSpacing w:val="0"/>
              <w:jc w:val="left"/>
            </w:pPr>
            <w:r w:rsidRPr="00F620DA">
              <w:t>wywiady z interesariuszami</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264C5B" w:rsidRPr="00F620DA" w:rsidRDefault="00264C5B" w:rsidP="00264C5B">
            <w:pPr>
              <w:spacing w:before="60" w:after="60"/>
              <w:jc w:val="left"/>
            </w:pPr>
            <w:r w:rsidRPr="00F620DA">
              <w:t>w ciągu pierwszego roku</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małe</w:t>
            </w:r>
          </w:p>
        </w:tc>
      </w:tr>
      <w:tr w:rsidR="00264C5B" w:rsidRPr="00F620DA" w:rsidTr="00062188">
        <w:trPr>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OP III. </w:t>
            </w:r>
            <w:r w:rsidRPr="00F620DA">
              <w:rPr>
                <w:b/>
                <w:i/>
              </w:rPr>
              <w:t>Czysta energia</w:t>
            </w:r>
            <w:r w:rsidRPr="00F620DA">
              <w:rPr>
                <w:b/>
              </w:rPr>
              <w:t xml:space="preserve"> </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wzrost efektywności energetycznej</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0"/>
              </w:numPr>
              <w:spacing w:before="60" w:after="60"/>
              <w:contextualSpacing w:val="0"/>
              <w:jc w:val="left"/>
            </w:pPr>
            <w:r w:rsidRPr="00F620DA">
              <w:t>oszacowanie łącznych efektów interwencji, łącznie z efektami rzeczowymi innych osi priorytetowych (na podstawie danych monitoringowych)</w:t>
            </w:r>
          </w:p>
          <w:p w:rsidR="00264C5B" w:rsidRPr="00F620DA" w:rsidRDefault="00264C5B" w:rsidP="006E6138">
            <w:pPr>
              <w:pStyle w:val="Akapitzlist"/>
              <w:numPr>
                <w:ilvl w:val="0"/>
                <w:numId w:val="60"/>
              </w:numPr>
              <w:spacing w:before="60" w:after="60"/>
              <w:contextualSpacing w:val="0"/>
              <w:jc w:val="left"/>
            </w:pPr>
            <w:r w:rsidRPr="00F620DA">
              <w:t xml:space="preserve">weryfikacja efektywności interwencji (szczególnie przedsięwzięć termomodernizacyjnych) na podstawie analizy kosztów i korzyści (CBA) </w:t>
            </w:r>
          </w:p>
          <w:p w:rsidR="00264C5B" w:rsidRPr="00F620DA" w:rsidRDefault="00264C5B" w:rsidP="006E6138">
            <w:pPr>
              <w:pStyle w:val="Akapitzlist"/>
              <w:numPr>
                <w:ilvl w:val="0"/>
                <w:numId w:val="60"/>
              </w:numPr>
              <w:spacing w:before="60" w:after="60"/>
              <w:contextualSpacing w:val="0"/>
              <w:jc w:val="left"/>
            </w:pPr>
            <w:r w:rsidRPr="00F620DA">
              <w:t xml:space="preserve">ocena wpływu inwestycji na </w:t>
            </w:r>
            <w:r w:rsidRPr="00F620DA">
              <w:lastRenderedPageBreak/>
              <w:t>jakość powietrza (wyeliminowanie tzw. niskiej emisji)</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0"/>
              </w:numPr>
              <w:spacing w:before="60" w:after="60"/>
              <w:contextualSpacing w:val="0"/>
              <w:jc w:val="left"/>
            </w:pPr>
            <w:r w:rsidRPr="00F620DA">
              <w:lastRenderedPageBreak/>
              <w:t>dane pierwotne (ilościowe i jakościowe)</w:t>
            </w:r>
          </w:p>
          <w:p w:rsidR="00264C5B" w:rsidRPr="00F620DA" w:rsidRDefault="00264C5B" w:rsidP="006E6138">
            <w:pPr>
              <w:pStyle w:val="Akapitzlist"/>
              <w:numPr>
                <w:ilvl w:val="0"/>
                <w:numId w:val="60"/>
              </w:numPr>
              <w:spacing w:before="60" w:after="60"/>
              <w:contextualSpacing w:val="0"/>
              <w:jc w:val="left"/>
            </w:pPr>
            <w:r w:rsidRPr="00F620DA">
              <w:t>dane pochodzące z monitoringu – weryfikacja danych deklarowanych przez beneficjentów (rzeczywiste a deklarowane we wnioskach efekty rzeczowe)</w:t>
            </w:r>
          </w:p>
          <w:p w:rsidR="00264C5B" w:rsidRPr="00F620DA" w:rsidRDefault="00264C5B" w:rsidP="006E6138">
            <w:pPr>
              <w:pStyle w:val="Akapitzlist"/>
              <w:numPr>
                <w:ilvl w:val="0"/>
                <w:numId w:val="60"/>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F620DA" w:rsidTr="00062188">
        <w:trPr>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 xml:space="preserve">wzrost udziału źródeł odnawialnych w bilansie energetycznym regionu </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1"/>
              </w:numPr>
              <w:spacing w:before="60" w:after="60"/>
              <w:contextualSpacing w:val="0"/>
              <w:jc w:val="left"/>
            </w:pPr>
            <w:r w:rsidRPr="00F620DA">
              <w:t xml:space="preserve">oszacowanie łącznych efektów interwencji </w:t>
            </w:r>
          </w:p>
          <w:p w:rsidR="00264C5B" w:rsidRPr="00F620DA" w:rsidRDefault="00264C5B" w:rsidP="006E6138">
            <w:pPr>
              <w:pStyle w:val="Akapitzlist"/>
              <w:numPr>
                <w:ilvl w:val="0"/>
                <w:numId w:val="61"/>
              </w:numPr>
              <w:spacing w:before="60" w:after="60"/>
              <w:contextualSpacing w:val="0"/>
              <w:jc w:val="left"/>
            </w:pPr>
            <w:r w:rsidRPr="00F620DA">
              <w:t>ocena interakcji schematów wsparcia w ramach RPO WP 2014-2020 z innymi instrumentami (program krajowy, środki NFOŚiGW, krajowy system wsparcia) – ogólna dynamika sektora OZE w regionie</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2"/>
              </w:numPr>
              <w:spacing w:before="60" w:after="60"/>
              <w:contextualSpacing w:val="0"/>
              <w:jc w:val="left"/>
            </w:pPr>
            <w:r w:rsidRPr="00F620DA">
              <w:t>dane pierwotne (ilościowe i jakościowe)</w:t>
            </w:r>
          </w:p>
          <w:p w:rsidR="00264C5B" w:rsidRPr="00F620DA" w:rsidRDefault="00264C5B" w:rsidP="006E6138">
            <w:pPr>
              <w:pStyle w:val="Akapitzlist"/>
              <w:numPr>
                <w:ilvl w:val="0"/>
                <w:numId w:val="62"/>
              </w:numPr>
              <w:spacing w:before="60" w:after="60"/>
              <w:contextualSpacing w:val="0"/>
              <w:jc w:val="left"/>
            </w:pPr>
            <w:r w:rsidRPr="00F620DA">
              <w:t>dane pochodzące z monitoringu</w:t>
            </w:r>
          </w:p>
          <w:p w:rsidR="00264C5B" w:rsidRPr="00F620DA" w:rsidRDefault="00264C5B" w:rsidP="006E6138">
            <w:pPr>
              <w:pStyle w:val="Akapitzlist"/>
              <w:numPr>
                <w:ilvl w:val="0"/>
                <w:numId w:val="62"/>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F620DA" w:rsidTr="00062188">
        <w:trPr>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Oś IV. </w:t>
            </w:r>
            <w:r w:rsidRPr="00F620DA">
              <w:rPr>
                <w:b/>
                <w:i/>
              </w:rPr>
              <w:t>Ochrona środowiska naturalnego i dziedzictwa kulturowego</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rozwój systemów wodno-ściekowych, systemu gospodarki odpadami komunalnymi oraz poprawa gospodarki odpadami niebezpiecznymi i innymi niż komunalne w województwie</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3"/>
              </w:numPr>
              <w:spacing w:before="60" w:after="60"/>
              <w:contextualSpacing w:val="0"/>
              <w:jc w:val="left"/>
            </w:pPr>
            <w:r w:rsidRPr="00F620DA">
              <w:t>ocena realizacji zobowiązań wynikających z dyrektyw unijnych oraz wkładu w realizację WPGO</w:t>
            </w:r>
          </w:p>
          <w:p w:rsidR="00264C5B" w:rsidRPr="00F620DA" w:rsidRDefault="00264C5B" w:rsidP="006E6138">
            <w:pPr>
              <w:pStyle w:val="Akapitzlist"/>
              <w:numPr>
                <w:ilvl w:val="0"/>
                <w:numId w:val="63"/>
              </w:numPr>
              <w:spacing w:before="60" w:after="60"/>
              <w:contextualSpacing w:val="0"/>
              <w:jc w:val="left"/>
            </w:pPr>
            <w:r w:rsidRPr="00F620DA">
              <w:t>ocena wypełnienia założeń KPOŚK</w:t>
            </w:r>
          </w:p>
          <w:p w:rsidR="00264C5B" w:rsidRPr="00F620DA" w:rsidRDefault="00264C5B" w:rsidP="006E6138">
            <w:pPr>
              <w:pStyle w:val="Akapitzlist"/>
              <w:numPr>
                <w:ilvl w:val="0"/>
                <w:numId w:val="63"/>
              </w:numPr>
              <w:spacing w:before="60" w:after="60"/>
              <w:contextualSpacing w:val="0"/>
              <w:jc w:val="left"/>
            </w:pPr>
            <w:r w:rsidRPr="00F620DA">
              <w:t xml:space="preserve">ocena interakcji schematów wsparcia w ramach RPO WP 2014-2020 z innymi instrumentami wsparcia publicznego oraz funkcjonujących instrumentów rynkowych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3"/>
              </w:numPr>
              <w:spacing w:before="60" w:after="60"/>
              <w:contextualSpacing w:val="0"/>
              <w:jc w:val="left"/>
            </w:pPr>
            <w:r w:rsidRPr="00F620DA">
              <w:t>dane pierwotne (ilościowe i jakościowe)</w:t>
            </w:r>
          </w:p>
          <w:p w:rsidR="00264C5B" w:rsidRPr="00F620DA" w:rsidRDefault="00264C5B" w:rsidP="006E6138">
            <w:pPr>
              <w:pStyle w:val="Akapitzlist"/>
              <w:numPr>
                <w:ilvl w:val="0"/>
                <w:numId w:val="63"/>
              </w:numPr>
              <w:spacing w:before="60" w:after="60"/>
              <w:contextualSpacing w:val="0"/>
              <w:jc w:val="left"/>
            </w:pPr>
            <w:r w:rsidRPr="00F620DA">
              <w:t>dane pochodzące z monitoringu</w:t>
            </w:r>
          </w:p>
          <w:p w:rsidR="00264C5B" w:rsidRPr="00F620DA" w:rsidRDefault="00264C5B" w:rsidP="006E6138">
            <w:pPr>
              <w:pStyle w:val="Akapitzlist"/>
              <w:numPr>
                <w:ilvl w:val="0"/>
                <w:numId w:val="63"/>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małe</w:t>
            </w:r>
          </w:p>
        </w:tc>
      </w:tr>
      <w:tr w:rsidR="00264C5B" w:rsidRPr="00F620DA" w:rsidTr="00062188">
        <w:trPr>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 xml:space="preserve">rozwój zasobów </w:t>
            </w:r>
            <w:r w:rsidRPr="00F620DA">
              <w:rPr>
                <w:b/>
              </w:rPr>
              <w:lastRenderedPageBreak/>
              <w:t>kultury i ochrona zabytków województwa podkarpackiego</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4"/>
              </w:numPr>
              <w:spacing w:before="60" w:after="60"/>
              <w:contextualSpacing w:val="0"/>
              <w:jc w:val="left"/>
            </w:pPr>
            <w:r w:rsidRPr="00F620DA">
              <w:lastRenderedPageBreak/>
              <w:t xml:space="preserve">ocena wpływu interwencji w </w:t>
            </w:r>
            <w:r w:rsidRPr="00F620DA">
              <w:lastRenderedPageBreak/>
              <w:t>obszarze kultury i dziedzictwa na rozwój oferty turystycznej regionu, w szczególności na tworzenie markowych produktów turystycznych (w powiązaniu z innymi częściami programu)</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numPr>
                <w:ilvl w:val="0"/>
                <w:numId w:val="62"/>
              </w:numPr>
              <w:spacing w:before="60" w:after="60"/>
              <w:jc w:val="left"/>
            </w:pPr>
            <w:r w:rsidRPr="00F620DA">
              <w:lastRenderedPageBreak/>
              <w:t xml:space="preserve">dane pierwotne (ilościowe i </w:t>
            </w:r>
            <w:r w:rsidRPr="00F620DA">
              <w:lastRenderedPageBreak/>
              <w:t>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pStyle w:val="Akapitzlist"/>
              <w:numPr>
                <w:ilvl w:val="0"/>
                <w:numId w:val="62"/>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lastRenderedPageBreak/>
              <w:t xml:space="preserve">najwcześniej w </w:t>
            </w:r>
            <w:r w:rsidRPr="00F620DA">
              <w:lastRenderedPageBreak/>
              <w:t>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lastRenderedPageBreak/>
              <w:t>małe</w:t>
            </w:r>
          </w:p>
        </w:tc>
      </w:tr>
      <w:tr w:rsidR="00264C5B" w:rsidRPr="00F620DA" w:rsidTr="00062188">
        <w:trPr>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lastRenderedPageBreak/>
              <w:t xml:space="preserve">Oś priorytetowa V. </w:t>
            </w:r>
            <w:r w:rsidRPr="00F620DA">
              <w:rPr>
                <w:b/>
                <w:i/>
              </w:rPr>
              <w:t>Infrastruktura komunikacyjna</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rPr>
            </w:pPr>
            <w:r w:rsidRPr="00F620DA">
              <w:rPr>
                <w:b/>
              </w:rPr>
              <w:t>poprawa powiązań drogowych w województwie</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5"/>
              </w:numPr>
              <w:spacing w:before="60" w:after="60"/>
              <w:contextualSpacing w:val="0"/>
              <w:jc w:val="left"/>
            </w:pPr>
            <w:r w:rsidRPr="00F620DA">
              <w:t>oszacowanie wpływu działań na poprawę powiązań funkcjonalnych w województwie (w ramach MOF/ROF, poprawa powiązań z siecią TEN-T)</w:t>
            </w:r>
          </w:p>
          <w:p w:rsidR="00264C5B" w:rsidRPr="00F620DA" w:rsidRDefault="00264C5B" w:rsidP="006E6138">
            <w:pPr>
              <w:pStyle w:val="Akapitzlist"/>
              <w:numPr>
                <w:ilvl w:val="0"/>
                <w:numId w:val="65"/>
              </w:numPr>
              <w:spacing w:before="60" w:after="60"/>
              <w:contextualSpacing w:val="0"/>
              <w:jc w:val="left"/>
            </w:pPr>
            <w:r w:rsidRPr="00F620DA">
              <w:t>oszacowanie efektów ekonomicznych inwestycji w obszarze infrastruktury drogowej na rozwój gospodarczy (analiza kosztów i korzyści)</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numPr>
                <w:ilvl w:val="0"/>
                <w:numId w:val="62"/>
              </w:numPr>
              <w:spacing w:before="60" w:after="6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F620DA" w:rsidTr="00062188">
        <w:trPr>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rPr>
                <w:b/>
                <w:i/>
              </w:rPr>
            </w:pPr>
            <w:r w:rsidRPr="00F620DA">
              <w:rPr>
                <w:b/>
                <w:i/>
              </w:rPr>
              <w:t>wzrost konkurencyjności oferty transportu kolejowego</w:t>
            </w:r>
          </w:p>
          <w:p w:rsidR="00264C5B" w:rsidRPr="00F620DA" w:rsidRDefault="00264C5B" w:rsidP="00264C5B">
            <w:pPr>
              <w:spacing w:before="60" w:after="60"/>
              <w:jc w:val="left"/>
              <w:rPr>
                <w:b/>
              </w:rPr>
            </w:pPr>
            <w:r w:rsidRPr="00F620DA">
              <w:rPr>
                <w:b/>
              </w:rPr>
              <w:t xml:space="preserve">oraz </w:t>
            </w:r>
            <w:r w:rsidRPr="00F620DA">
              <w:rPr>
                <w:b/>
                <w:i/>
              </w:rPr>
              <w:t xml:space="preserve">poprawa jakości oferty publicznego transportu zbiorowego w miastach województwa </w:t>
            </w:r>
            <w:r w:rsidRPr="00F620DA">
              <w:rPr>
                <w:b/>
                <w:i/>
              </w:rPr>
              <w:lastRenderedPageBreak/>
              <w:t>podkarpackiego</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pStyle w:val="Akapitzlist"/>
              <w:numPr>
                <w:ilvl w:val="0"/>
                <w:numId w:val="66"/>
              </w:numPr>
              <w:spacing w:before="60" w:after="60"/>
              <w:contextualSpacing w:val="0"/>
              <w:jc w:val="left"/>
            </w:pPr>
            <w:r w:rsidRPr="00F620DA">
              <w:lastRenderedPageBreak/>
              <w:t xml:space="preserve">ocena wkładu interwencji w tworzenie spójnej oferty transportu publicznego </w:t>
            </w:r>
          </w:p>
          <w:p w:rsidR="00264C5B" w:rsidRPr="00F620DA" w:rsidRDefault="00264C5B" w:rsidP="006E6138">
            <w:pPr>
              <w:pStyle w:val="Akapitzlist"/>
              <w:numPr>
                <w:ilvl w:val="0"/>
                <w:numId w:val="66"/>
              </w:numPr>
              <w:spacing w:before="60" w:after="60"/>
              <w:contextualSpacing w:val="0"/>
              <w:jc w:val="left"/>
            </w:pPr>
            <w:r w:rsidRPr="00F620DA">
              <w:t xml:space="preserve">ocena wpływu interwencji na schematy mobilności mieszkańców (w szczególności na przewozy transportem zbiorowym)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pStyle w:val="Akapitzlist"/>
              <w:numPr>
                <w:ilvl w:val="0"/>
                <w:numId w:val="62"/>
              </w:numPr>
              <w:spacing w:before="60" w:after="60"/>
              <w:contextualSpacing w:val="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F620DA" w:rsidTr="00062188">
        <w:trPr>
          <w:trHeight w:val="449"/>
          <w:jc w:val="center"/>
        </w:trPr>
        <w:tc>
          <w:tcPr>
            <w:tcW w:w="191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F2F2F2" w:themeFill="background1" w:themeFillShade="F2"/>
            <w:vAlign w:val="center"/>
          </w:tcPr>
          <w:p w:rsidR="00264C5B" w:rsidRPr="00F620DA" w:rsidRDefault="00264C5B" w:rsidP="00264C5B">
            <w:pPr>
              <w:spacing w:before="60" w:after="60"/>
              <w:jc w:val="left"/>
              <w:rPr>
                <w:b/>
              </w:rPr>
            </w:pPr>
            <w:r w:rsidRPr="00F620DA">
              <w:rPr>
                <w:b/>
              </w:rPr>
              <w:lastRenderedPageBreak/>
              <w:t xml:space="preserve">Oś priorytetowa VI. </w:t>
            </w:r>
            <w:r w:rsidRPr="00F620DA">
              <w:rPr>
                <w:b/>
                <w:i/>
              </w:rPr>
              <w:t>Spójność społeczna i przestrzenna</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rPr>
                <w:b/>
              </w:rPr>
            </w:pPr>
            <w:r w:rsidRPr="00F620DA">
              <w:rPr>
                <w:b/>
              </w:rPr>
              <w:t xml:space="preserve">Poprawa jakości infrastruktury: </w:t>
            </w:r>
          </w:p>
          <w:p w:rsidR="00264C5B" w:rsidRPr="00F620DA" w:rsidRDefault="00264C5B" w:rsidP="006E6138">
            <w:pPr>
              <w:pStyle w:val="Akapitzlist"/>
              <w:numPr>
                <w:ilvl w:val="0"/>
                <w:numId w:val="70"/>
              </w:numPr>
              <w:spacing w:before="60" w:after="60" w:line="276" w:lineRule="auto"/>
              <w:ind w:left="360"/>
              <w:contextualSpacing w:val="0"/>
              <w:jc w:val="left"/>
              <w:rPr>
                <w:b/>
              </w:rPr>
            </w:pPr>
            <w:r w:rsidRPr="00F620DA">
              <w:rPr>
                <w:b/>
              </w:rPr>
              <w:t>ochrony zdrowia ,</w:t>
            </w:r>
          </w:p>
          <w:p w:rsidR="00264C5B" w:rsidRPr="00F620DA" w:rsidRDefault="00264C5B" w:rsidP="006E6138">
            <w:pPr>
              <w:pStyle w:val="Akapitzlist"/>
              <w:numPr>
                <w:ilvl w:val="0"/>
                <w:numId w:val="70"/>
              </w:numPr>
              <w:spacing w:before="60" w:after="60" w:line="276" w:lineRule="auto"/>
              <w:ind w:left="360"/>
              <w:contextualSpacing w:val="0"/>
              <w:jc w:val="left"/>
              <w:rPr>
                <w:b/>
              </w:rPr>
            </w:pPr>
            <w:r w:rsidRPr="00F620DA">
              <w:rPr>
                <w:b/>
              </w:rPr>
              <w:t>społecznej,</w:t>
            </w:r>
          </w:p>
          <w:p w:rsidR="00264C5B" w:rsidRPr="00F620DA" w:rsidRDefault="00264C5B" w:rsidP="006E6138">
            <w:pPr>
              <w:pStyle w:val="Akapitzlist"/>
              <w:numPr>
                <w:ilvl w:val="0"/>
                <w:numId w:val="70"/>
              </w:numPr>
              <w:spacing w:before="60" w:after="60" w:line="276" w:lineRule="auto"/>
              <w:ind w:left="360"/>
              <w:contextualSpacing w:val="0"/>
              <w:jc w:val="left"/>
              <w:rPr>
                <w:b/>
              </w:rPr>
            </w:pPr>
            <w:r w:rsidRPr="00F620DA">
              <w:rPr>
                <w:b/>
              </w:rPr>
              <w:t>edukacyjnej.</w:t>
            </w:r>
          </w:p>
          <w:p w:rsidR="00264C5B" w:rsidRPr="00F620DA" w:rsidRDefault="00264C5B" w:rsidP="00264C5B">
            <w:pPr>
              <w:spacing w:before="60" w:after="60"/>
              <w:jc w:val="left"/>
              <w:rPr>
                <w:b/>
              </w:rPr>
            </w:pP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6E6138">
            <w:pPr>
              <w:pStyle w:val="Akapitzlist"/>
              <w:numPr>
                <w:ilvl w:val="0"/>
                <w:numId w:val="65"/>
              </w:numPr>
              <w:spacing w:before="60" w:after="60"/>
              <w:contextualSpacing w:val="0"/>
              <w:jc w:val="left"/>
            </w:pPr>
            <w:r w:rsidRPr="00F620DA">
              <w:t>ocena ex-ante, w tym szczegółowe rozpoznanie potrzeb</w:t>
            </w:r>
          </w:p>
          <w:p w:rsidR="00264C5B" w:rsidRPr="00F620DA" w:rsidRDefault="00264C5B" w:rsidP="006E6138">
            <w:pPr>
              <w:pStyle w:val="Akapitzlist"/>
              <w:numPr>
                <w:ilvl w:val="0"/>
                <w:numId w:val="65"/>
              </w:numPr>
              <w:spacing w:before="60" w:after="60"/>
              <w:contextualSpacing w:val="0"/>
              <w:jc w:val="left"/>
            </w:pPr>
            <w:r w:rsidRPr="00F620DA">
              <w:t xml:space="preserve">ocena wpływu infrastruktury na poprawę jakości i dostępności usług (ocena przed i po interwencji), w tym </w:t>
            </w:r>
          </w:p>
          <w:p w:rsidR="00264C5B" w:rsidRPr="00F620DA" w:rsidRDefault="00264C5B" w:rsidP="006E6138">
            <w:pPr>
              <w:pStyle w:val="Akapitzlist"/>
              <w:numPr>
                <w:ilvl w:val="1"/>
                <w:numId w:val="65"/>
              </w:numPr>
              <w:spacing w:before="60" w:after="60"/>
              <w:contextualSpacing w:val="0"/>
              <w:jc w:val="left"/>
            </w:pPr>
            <w:r w:rsidRPr="00F620DA">
              <w:t xml:space="preserve">W zakresie usług zdrowotnych ocena wpływu na poprawę wyleczalności </w:t>
            </w:r>
          </w:p>
          <w:p w:rsidR="00264C5B" w:rsidRPr="00F620DA" w:rsidRDefault="00264C5B" w:rsidP="006E6138">
            <w:pPr>
              <w:pStyle w:val="Akapitzlist"/>
              <w:numPr>
                <w:ilvl w:val="1"/>
                <w:numId w:val="65"/>
              </w:numPr>
              <w:spacing w:before="60" w:after="60"/>
              <w:contextualSpacing w:val="0"/>
              <w:jc w:val="left"/>
            </w:pPr>
            <w:r w:rsidRPr="00F620DA">
              <w:t xml:space="preserve">W zakresie usług społecznych ocena wpływu na sytuację gospodarstw domowych (połączona ewaluacja PI 9.1 i 9.7).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6E6138">
            <w:pPr>
              <w:numPr>
                <w:ilvl w:val="0"/>
                <w:numId w:val="62"/>
              </w:numPr>
              <w:spacing w:before="60" w:after="60"/>
              <w:jc w:val="left"/>
            </w:pPr>
            <w:r w:rsidRPr="00F620DA">
              <w:t>dane pierwotne (np. sprawozdania placówek ochrony zdrowia i podmiotów świadczących usługi społeczne)</w:t>
            </w:r>
          </w:p>
          <w:p w:rsidR="00264C5B" w:rsidRPr="00F620DA" w:rsidRDefault="00264C5B" w:rsidP="006E6138">
            <w:pPr>
              <w:numPr>
                <w:ilvl w:val="0"/>
                <w:numId w:val="62"/>
              </w:numPr>
              <w:spacing w:before="60" w:after="60"/>
              <w:jc w:val="left"/>
            </w:pPr>
            <w:r w:rsidRPr="00F620DA">
              <w:t>dane z monitoringu</w:t>
            </w:r>
          </w:p>
          <w:p w:rsidR="00264C5B" w:rsidRPr="00F620DA" w:rsidRDefault="00264C5B" w:rsidP="006E6138">
            <w:pPr>
              <w:numPr>
                <w:ilvl w:val="0"/>
                <w:numId w:val="62"/>
              </w:numPr>
              <w:spacing w:before="60" w:after="60"/>
              <w:jc w:val="left"/>
            </w:pPr>
            <w:r w:rsidRPr="00F620DA">
              <w:t>badania satysfakcji klientów</w:t>
            </w:r>
          </w:p>
          <w:p w:rsidR="00264C5B" w:rsidRPr="00F620DA" w:rsidRDefault="00264C5B" w:rsidP="006E6138">
            <w:pPr>
              <w:numPr>
                <w:ilvl w:val="0"/>
                <w:numId w:val="62"/>
              </w:numPr>
              <w:spacing w:before="60" w:after="60"/>
              <w:jc w:val="left"/>
            </w:pPr>
            <w:r w:rsidRPr="00F620DA">
              <w:t>badania losów klientów (w przypadku usług społecznych – badania na poziomie gospodarstwa domowego)</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Ocena ex-ante – po przygotowaniu wstępnych wersji dokumentów wdrożeniowych</w:t>
            </w:r>
          </w:p>
          <w:p w:rsidR="00264C5B" w:rsidRPr="00F620DA" w:rsidRDefault="00264C5B" w:rsidP="00264C5B">
            <w:pPr>
              <w:spacing w:before="60" w:after="60"/>
              <w:jc w:val="left"/>
            </w:pPr>
            <w:r w:rsidRPr="00F620DA">
              <w:t xml:space="preserve">Ocena przed interwencją – po wyborze projektów </w:t>
            </w:r>
          </w:p>
          <w:p w:rsidR="00264C5B" w:rsidRPr="00F620DA" w:rsidRDefault="00264C5B" w:rsidP="00264C5B">
            <w:pPr>
              <w:spacing w:before="60" w:after="60"/>
              <w:jc w:val="left"/>
            </w:pPr>
            <w:r w:rsidRPr="00F620DA">
              <w:t xml:space="preserve">Ocena w trakcie i po zakończeniu interwencji </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duże</w:t>
            </w:r>
          </w:p>
        </w:tc>
      </w:tr>
      <w:tr w:rsidR="00264C5B" w:rsidRPr="00F620DA" w:rsidTr="00062188">
        <w:trPr>
          <w:trHeight w:val="449"/>
          <w:jc w:val="center"/>
        </w:trPr>
        <w:tc>
          <w:tcPr>
            <w:tcW w:w="191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rsidR="00264C5B" w:rsidRPr="00F620DA" w:rsidRDefault="00264C5B" w:rsidP="00264C5B">
            <w:pPr>
              <w:spacing w:before="60" w:after="60"/>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rPr>
                <w:b/>
              </w:rPr>
            </w:pPr>
            <w:r w:rsidRPr="00F620DA">
              <w:rPr>
                <w:b/>
              </w:rPr>
              <w:t>Ograniczenie problemów społecznych na terenach zdegradowanych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6E6138">
            <w:pPr>
              <w:pStyle w:val="Akapitzlist"/>
              <w:numPr>
                <w:ilvl w:val="0"/>
                <w:numId w:val="65"/>
              </w:numPr>
              <w:spacing w:before="60" w:after="60"/>
              <w:contextualSpacing w:val="0"/>
              <w:jc w:val="left"/>
            </w:pPr>
            <w:r w:rsidRPr="00F620DA">
              <w:t>ocena ex-ante (ocena potrzeb, ocena przyjętych zasad wyboru i realizacji przedsięwzięć itd.)</w:t>
            </w:r>
          </w:p>
          <w:p w:rsidR="00264C5B" w:rsidRPr="00F620DA" w:rsidRDefault="00264C5B" w:rsidP="006E6138">
            <w:pPr>
              <w:pStyle w:val="Akapitzlist"/>
              <w:numPr>
                <w:ilvl w:val="0"/>
                <w:numId w:val="65"/>
              </w:numPr>
              <w:spacing w:before="60" w:after="60"/>
              <w:contextualSpacing w:val="0"/>
              <w:jc w:val="left"/>
            </w:pPr>
            <w:r w:rsidRPr="00F620DA">
              <w:t xml:space="preserve">ocena wpływu interwencji na sytuację społeczną na rewitalizowanych obszarach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6E6138">
            <w:pPr>
              <w:numPr>
                <w:ilvl w:val="0"/>
                <w:numId w:val="62"/>
              </w:numPr>
              <w:spacing w:before="60" w:after="60"/>
              <w:jc w:val="left"/>
            </w:pPr>
            <w:r w:rsidRPr="00F620DA">
              <w:t>dane zastane (ilościowe i jakościowe)</w:t>
            </w:r>
          </w:p>
          <w:p w:rsidR="00264C5B" w:rsidRPr="00F620DA" w:rsidRDefault="00264C5B" w:rsidP="006E6138">
            <w:pPr>
              <w:numPr>
                <w:ilvl w:val="0"/>
                <w:numId w:val="62"/>
              </w:numPr>
              <w:spacing w:before="60" w:after="60"/>
              <w:jc w:val="left"/>
            </w:pPr>
            <w:r w:rsidRPr="00F620DA">
              <w:t>analiza danych statystycznych dotyczących wspieranych obszarów (dane na niskim poziomie dezagregacji)</w:t>
            </w:r>
          </w:p>
          <w:p w:rsidR="00264C5B" w:rsidRPr="00F620DA" w:rsidRDefault="00264C5B" w:rsidP="006E6138">
            <w:pPr>
              <w:numPr>
                <w:ilvl w:val="0"/>
                <w:numId w:val="62"/>
              </w:numPr>
              <w:spacing w:before="60" w:after="60"/>
              <w:jc w:val="left"/>
            </w:pPr>
            <w:r w:rsidRPr="00F620DA">
              <w:lastRenderedPageBreak/>
              <w:t>badania jakościowe wśród głównych interesariuszy (także członków społeczności lokalnych)</w:t>
            </w:r>
          </w:p>
          <w:p w:rsidR="00264C5B" w:rsidRPr="00F620DA" w:rsidRDefault="00264C5B" w:rsidP="006E6138">
            <w:pPr>
              <w:numPr>
                <w:ilvl w:val="0"/>
                <w:numId w:val="62"/>
              </w:numPr>
              <w:spacing w:before="60" w:after="60"/>
              <w:jc w:val="left"/>
            </w:pPr>
            <w:r w:rsidRPr="00F620DA">
              <w:t>badania ilościowe wśród mieszkańców</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lastRenderedPageBreak/>
              <w:t>Ocena ex-ante – po przygotowaniu wstępnych wersji dokumentów wdrożeniowych</w:t>
            </w:r>
          </w:p>
          <w:p w:rsidR="00264C5B" w:rsidRPr="00F620DA" w:rsidRDefault="00264C5B" w:rsidP="00264C5B">
            <w:pPr>
              <w:spacing w:before="60" w:after="60"/>
              <w:jc w:val="left"/>
            </w:pPr>
            <w:r w:rsidRPr="00F620DA">
              <w:t xml:space="preserve">Ocena przed interwencją – po </w:t>
            </w:r>
            <w:r w:rsidRPr="00F620DA">
              <w:lastRenderedPageBreak/>
              <w:t xml:space="preserve">wyborze projektów </w:t>
            </w:r>
          </w:p>
          <w:p w:rsidR="00264C5B" w:rsidRPr="00F620DA" w:rsidRDefault="00264C5B" w:rsidP="00264C5B">
            <w:pPr>
              <w:spacing w:before="60" w:after="60"/>
              <w:jc w:val="left"/>
            </w:pPr>
            <w:r w:rsidRPr="00F620DA">
              <w:t>Ocena w trakcie i po zakończeniu interwencji</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lastRenderedPageBreak/>
              <w:t>duże</w:t>
            </w:r>
          </w:p>
        </w:tc>
      </w:tr>
      <w:tr w:rsidR="00264C5B" w:rsidRPr="00F620DA" w:rsidTr="00062188">
        <w:trPr>
          <w:trHeight w:val="449"/>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lastRenderedPageBreak/>
              <w:t xml:space="preserve">Oś priorytetowa VII. </w:t>
            </w:r>
            <w:r w:rsidRPr="00F620DA">
              <w:rPr>
                <w:b/>
                <w:i/>
              </w:rPr>
              <w:t>Regionalny rynek pracy</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 xml:space="preserve">Wzrost zatrudnienia </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5"/>
              </w:numPr>
              <w:spacing w:before="60" w:after="60"/>
              <w:contextualSpacing w:val="0"/>
              <w:jc w:val="left"/>
            </w:pPr>
            <w:r w:rsidRPr="00F620DA">
              <w:t>Badanie sytuacji beneficjentów 6 / 18 miesięcy po zakończeniu udziału w projekcie,</w:t>
            </w:r>
          </w:p>
          <w:p w:rsidR="00264C5B" w:rsidRPr="00F620DA" w:rsidRDefault="00264C5B" w:rsidP="006E6138">
            <w:pPr>
              <w:pStyle w:val="Akapitzlist"/>
              <w:numPr>
                <w:ilvl w:val="0"/>
                <w:numId w:val="65"/>
              </w:numPr>
              <w:spacing w:before="60" w:after="60"/>
              <w:contextualSpacing w:val="0"/>
              <w:jc w:val="left"/>
            </w:pPr>
            <w:r w:rsidRPr="00F620DA">
              <w:t>Oszacowanie wpływu interwencji w zmianę sytuacji beneficjentów (badanie efektu netto)</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numPr>
                <w:ilvl w:val="0"/>
                <w:numId w:val="62"/>
              </w:numPr>
              <w:spacing w:before="60" w:after="6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pPr>
            <w:r w:rsidRPr="00F620DA">
              <w:t>Co najmniej dwa razy w okresie programowania. Wskazane jest jednak badanie częstsze.</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średnie/duże.</w:t>
            </w:r>
          </w:p>
        </w:tc>
      </w:tr>
      <w:tr w:rsidR="00264C5B" w:rsidRPr="00F620DA" w:rsidTr="00062188">
        <w:trPr>
          <w:trHeight w:val="448"/>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Wydłużenie okresu aktywności zawodowej</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7"/>
              </w:numPr>
              <w:spacing w:before="60" w:after="60"/>
              <w:contextualSpacing w:val="0"/>
              <w:jc w:val="left"/>
              <w:rPr>
                <w:b/>
              </w:rPr>
            </w:pPr>
            <w:r w:rsidRPr="00F620DA">
              <w:t>Oszacowanie wpływu interwencji na stan zdrowia osób starszych</w:t>
            </w:r>
          </w:p>
          <w:p w:rsidR="00264C5B" w:rsidRPr="00F620DA" w:rsidRDefault="00264C5B" w:rsidP="006E6138">
            <w:pPr>
              <w:pStyle w:val="Akapitzlist"/>
              <w:numPr>
                <w:ilvl w:val="0"/>
                <w:numId w:val="67"/>
              </w:numPr>
              <w:spacing w:before="60" w:after="60"/>
              <w:contextualSpacing w:val="0"/>
              <w:jc w:val="left"/>
              <w:rPr>
                <w:b/>
              </w:rPr>
            </w:pPr>
            <w:r w:rsidRPr="00F620DA">
              <w:t xml:space="preserve">Oszacowanie wpływu interwencji na poziom aktywności zawodowej osób starszych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264C5B">
            <w:pPr>
              <w:spacing w:before="60" w:after="60"/>
              <w:jc w:val="left"/>
              <w:rPr>
                <w:b/>
              </w:rPr>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F620DA" w:rsidTr="00062188">
        <w:trPr>
          <w:trHeight w:val="449"/>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Oś priorytetowa VIII. </w:t>
            </w:r>
            <w:r w:rsidRPr="00F620DA">
              <w:rPr>
                <w:b/>
                <w:i/>
              </w:rPr>
              <w:t>Integracja</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 xml:space="preserve">Wzrost zatrudnienia osób ubogich i wykluczonych </w:t>
            </w:r>
            <w:r w:rsidRPr="00F620DA">
              <w:rPr>
                <w:b/>
              </w:rPr>
              <w:lastRenderedPageBreak/>
              <w:t>społecznie</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5"/>
              </w:numPr>
              <w:spacing w:before="60" w:after="60"/>
              <w:contextualSpacing w:val="0"/>
              <w:jc w:val="left"/>
            </w:pPr>
            <w:r w:rsidRPr="00F620DA">
              <w:lastRenderedPageBreak/>
              <w:t>Badanie sytuacji beneficjentów 6 / 18 miesięcy po zakończeniu udziału w projekcie,</w:t>
            </w:r>
          </w:p>
          <w:p w:rsidR="00264C5B" w:rsidRPr="00F620DA" w:rsidRDefault="00264C5B" w:rsidP="006E6138">
            <w:pPr>
              <w:pStyle w:val="Akapitzlist"/>
              <w:numPr>
                <w:ilvl w:val="0"/>
                <w:numId w:val="65"/>
              </w:numPr>
              <w:spacing w:before="60" w:after="60"/>
              <w:contextualSpacing w:val="0"/>
              <w:jc w:val="left"/>
            </w:pPr>
            <w:r w:rsidRPr="00F620DA">
              <w:lastRenderedPageBreak/>
              <w:t>Oszacowanie wpływu interwencji w zmianę sytuacji beneficjentów (badanie efektu netto)</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lastRenderedPageBreak/>
              <w:t>dane pierwotne (ilościowe i jakościowe)</w:t>
            </w:r>
          </w:p>
          <w:p w:rsidR="00264C5B" w:rsidRPr="00F620DA" w:rsidRDefault="00264C5B" w:rsidP="006E6138">
            <w:pPr>
              <w:numPr>
                <w:ilvl w:val="0"/>
                <w:numId w:val="62"/>
              </w:numPr>
              <w:spacing w:before="60" w:after="60"/>
              <w:jc w:val="left"/>
            </w:pPr>
            <w:r w:rsidRPr="00F620DA">
              <w:t xml:space="preserve">dane pochodzące z </w:t>
            </w:r>
            <w:r w:rsidRPr="00F620DA">
              <w:lastRenderedPageBreak/>
              <w:t>monitoringu</w:t>
            </w:r>
          </w:p>
          <w:p w:rsidR="00264C5B" w:rsidRPr="00F620DA" w:rsidRDefault="00264C5B" w:rsidP="006E6138">
            <w:pPr>
              <w:numPr>
                <w:ilvl w:val="0"/>
                <w:numId w:val="62"/>
              </w:numPr>
              <w:spacing w:before="60" w:after="6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pPr>
            <w:r w:rsidRPr="00F620DA">
              <w:lastRenderedPageBreak/>
              <w:t xml:space="preserve">Co najmniej dwa razy w okresie programowania. </w:t>
            </w:r>
            <w:r w:rsidRPr="00F620DA">
              <w:lastRenderedPageBreak/>
              <w:t>Wskazane jest jednak badanie częstsze.</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lastRenderedPageBreak/>
              <w:t>Średnie/duże</w:t>
            </w:r>
          </w:p>
        </w:tc>
      </w:tr>
      <w:tr w:rsidR="00264C5B" w:rsidRPr="00F620DA" w:rsidTr="00062188">
        <w:trPr>
          <w:trHeight w:val="448"/>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Poprawa dostępu do usług społecznych i zdrowotnych</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7"/>
              </w:numPr>
              <w:spacing w:before="60" w:after="60"/>
              <w:contextualSpacing w:val="0"/>
              <w:jc w:val="left"/>
              <w:rPr>
                <w:b/>
              </w:rPr>
            </w:pPr>
            <w:r w:rsidRPr="00F620DA">
              <w:t>oszacowanie wpływu interwencji w zakresie usług społecznych na poprawę sytuacji gospodarstw domowych (badanie połączone z ewaluacją 9.1)</w:t>
            </w:r>
          </w:p>
          <w:p w:rsidR="00264C5B" w:rsidRPr="00F620DA" w:rsidRDefault="00264C5B" w:rsidP="006E6138">
            <w:pPr>
              <w:pStyle w:val="Akapitzlist"/>
              <w:numPr>
                <w:ilvl w:val="0"/>
                <w:numId w:val="67"/>
              </w:numPr>
              <w:spacing w:before="60" w:after="60"/>
              <w:contextualSpacing w:val="0"/>
              <w:jc w:val="left"/>
              <w:rPr>
                <w:b/>
              </w:rPr>
            </w:pPr>
            <w:r w:rsidRPr="00F620DA">
              <w:t xml:space="preserve">oszacowanie wpływu interwencji w zakresie usług zdrowotnych na ograniczenie ryzyka zachorowalności i umieralności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pStyle w:val="Akapitzlist"/>
              <w:numPr>
                <w:ilvl w:val="0"/>
                <w:numId w:val="62"/>
              </w:numPr>
              <w:spacing w:before="60" w:after="60"/>
              <w:contextualSpacing w:val="0"/>
              <w:jc w:val="left"/>
              <w:rPr>
                <w:b/>
              </w:rPr>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duże</w:t>
            </w:r>
          </w:p>
        </w:tc>
      </w:tr>
      <w:tr w:rsidR="00264C5B" w:rsidRPr="00F620DA" w:rsidTr="00062188">
        <w:trPr>
          <w:jc w:val="center"/>
        </w:trPr>
        <w:tc>
          <w:tcPr>
            <w:tcW w:w="191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hideMark/>
          </w:tcPr>
          <w:p w:rsidR="00264C5B" w:rsidRPr="00F620DA" w:rsidRDefault="00264C5B" w:rsidP="00264C5B">
            <w:pPr>
              <w:spacing w:before="60" w:after="60"/>
              <w:jc w:val="left"/>
              <w:rPr>
                <w:b/>
              </w:rPr>
            </w:pPr>
            <w:r w:rsidRPr="00F620DA">
              <w:rPr>
                <w:b/>
              </w:rPr>
              <w:t xml:space="preserve">Oś IX. </w:t>
            </w:r>
            <w:r w:rsidRPr="00F620DA">
              <w:rPr>
                <w:b/>
                <w:i/>
              </w:rPr>
              <w:t>Jakość edukacji i kompetencji w regionie</w:t>
            </w: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Podniesienie jakości kształcenia ogólnego</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8"/>
              </w:numPr>
              <w:spacing w:before="60" w:after="60"/>
              <w:contextualSpacing w:val="0"/>
              <w:jc w:val="left"/>
            </w:pPr>
            <w:r w:rsidRPr="00F620DA">
              <w:t>oszacowanie wpływu interwencji w poprawę wyników edukacyjnych na każdym etapie edukacji</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t>dane pierwotne (ilościowe i jakościowe)</w:t>
            </w:r>
          </w:p>
          <w:p w:rsidR="00264C5B" w:rsidRPr="00F620DA" w:rsidRDefault="00264C5B" w:rsidP="006E6138">
            <w:pPr>
              <w:numPr>
                <w:ilvl w:val="0"/>
                <w:numId w:val="62"/>
              </w:numPr>
              <w:spacing w:before="60" w:after="60"/>
              <w:jc w:val="left"/>
            </w:pPr>
            <w:r w:rsidRPr="00F620DA">
              <w:t>dane pochodzące z monitoringu</w:t>
            </w:r>
          </w:p>
          <w:p w:rsidR="00264C5B" w:rsidRPr="00F620DA" w:rsidRDefault="00264C5B" w:rsidP="006E6138">
            <w:pPr>
              <w:numPr>
                <w:ilvl w:val="0"/>
                <w:numId w:val="62"/>
              </w:numPr>
              <w:spacing w:before="60" w:after="60"/>
              <w:jc w:val="left"/>
            </w:pPr>
            <w:r w:rsidRPr="00F620DA">
              <w:t>dane kontekstowe pochodzące ze źródeł statystyki publicznej</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pPr>
            <w:r w:rsidRPr="00F620DA">
              <w:t>najwcześniej w połowie okresu programowania, po zakończeniu 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F620DA" w:rsidRDefault="00264C5B" w:rsidP="00264C5B">
            <w:pPr>
              <w:spacing w:before="60" w:after="60"/>
              <w:jc w:val="left"/>
            </w:pPr>
            <w:r w:rsidRPr="00F620DA">
              <w:t>średnie</w:t>
            </w:r>
          </w:p>
        </w:tc>
      </w:tr>
      <w:tr w:rsidR="00264C5B" w:rsidRPr="006E709E" w:rsidTr="00062188">
        <w:trPr>
          <w:jc w:val="center"/>
        </w:trPr>
        <w:tc>
          <w:tcPr>
            <w:tcW w:w="0" w:type="auto"/>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264C5B" w:rsidRPr="00F620DA" w:rsidRDefault="00264C5B" w:rsidP="00264C5B">
            <w:pPr>
              <w:jc w:val="left"/>
              <w:rPr>
                <w:b/>
              </w:rPr>
            </w:pPr>
          </w:p>
        </w:tc>
        <w:tc>
          <w:tcPr>
            <w:tcW w:w="23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rPr>
                <w:b/>
              </w:rPr>
            </w:pPr>
            <w:r w:rsidRPr="00F620DA">
              <w:rPr>
                <w:b/>
              </w:rPr>
              <w:t xml:space="preserve">Poprawa jakości kształcenia zawodowego i </w:t>
            </w:r>
            <w:r w:rsidRPr="00F620DA">
              <w:rPr>
                <w:b/>
              </w:rPr>
              <w:lastRenderedPageBreak/>
              <w:t xml:space="preserve">ustawicznego </w:t>
            </w:r>
          </w:p>
        </w:tc>
        <w:tc>
          <w:tcPr>
            <w:tcW w:w="39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pStyle w:val="Akapitzlist"/>
              <w:numPr>
                <w:ilvl w:val="0"/>
                <w:numId w:val="69"/>
              </w:numPr>
              <w:spacing w:before="60" w:after="60"/>
              <w:contextualSpacing w:val="0"/>
              <w:jc w:val="left"/>
            </w:pPr>
            <w:r w:rsidRPr="00F620DA">
              <w:lastRenderedPageBreak/>
              <w:t>Ocena zmiany w zakresie powiązania oferty edukacyjnej z potrzebami rynku pracy</w:t>
            </w:r>
          </w:p>
          <w:p w:rsidR="00264C5B" w:rsidRPr="00F620DA" w:rsidRDefault="00264C5B" w:rsidP="006E6138">
            <w:pPr>
              <w:pStyle w:val="Akapitzlist"/>
              <w:numPr>
                <w:ilvl w:val="0"/>
                <w:numId w:val="69"/>
              </w:numPr>
              <w:spacing w:before="60" w:after="60"/>
              <w:contextualSpacing w:val="0"/>
              <w:jc w:val="left"/>
            </w:pPr>
            <w:r w:rsidRPr="00F620DA">
              <w:lastRenderedPageBreak/>
              <w:t>Ocena przygotowania uczestników kształcenia zawodowego i ustawicznego do funkcjonowania na rynku pracy</w:t>
            </w:r>
          </w:p>
          <w:p w:rsidR="00264C5B" w:rsidRPr="00F620DA" w:rsidRDefault="00264C5B" w:rsidP="006E6138">
            <w:pPr>
              <w:pStyle w:val="Akapitzlist"/>
              <w:numPr>
                <w:ilvl w:val="0"/>
                <w:numId w:val="69"/>
              </w:numPr>
              <w:spacing w:before="60" w:after="60"/>
              <w:contextualSpacing w:val="0"/>
              <w:jc w:val="left"/>
            </w:pPr>
            <w:r w:rsidRPr="00F620DA">
              <w:t xml:space="preserve">Badanie losów uczniów </w:t>
            </w:r>
          </w:p>
        </w:tc>
        <w:tc>
          <w:tcPr>
            <w:tcW w:w="34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6E6138">
            <w:pPr>
              <w:numPr>
                <w:ilvl w:val="0"/>
                <w:numId w:val="62"/>
              </w:numPr>
              <w:spacing w:before="60" w:after="60"/>
              <w:jc w:val="left"/>
            </w:pPr>
            <w:r w:rsidRPr="00F620DA">
              <w:lastRenderedPageBreak/>
              <w:t>dane pierwotne (ilościowe i jakościowe)</w:t>
            </w:r>
          </w:p>
          <w:p w:rsidR="00264C5B" w:rsidRPr="00F620DA" w:rsidRDefault="00264C5B" w:rsidP="006E6138">
            <w:pPr>
              <w:numPr>
                <w:ilvl w:val="0"/>
                <w:numId w:val="62"/>
              </w:numPr>
              <w:spacing w:before="60" w:after="60"/>
              <w:jc w:val="left"/>
            </w:pPr>
            <w:r w:rsidRPr="00F620DA">
              <w:t xml:space="preserve">dane pochodzące z </w:t>
            </w:r>
            <w:r w:rsidRPr="00F620DA">
              <w:lastRenderedPageBreak/>
              <w:t>monitoringu</w:t>
            </w:r>
          </w:p>
          <w:p w:rsidR="00264C5B" w:rsidRPr="00F620DA" w:rsidRDefault="00264C5B" w:rsidP="006E6138">
            <w:pPr>
              <w:numPr>
                <w:ilvl w:val="0"/>
                <w:numId w:val="62"/>
              </w:numPr>
              <w:spacing w:before="60" w:after="60"/>
              <w:jc w:val="left"/>
            </w:pPr>
            <w:r w:rsidRPr="00F620DA">
              <w:t>dane kontekstowe pochodzące ze źródeł statystyki publicznej</w:t>
            </w:r>
          </w:p>
          <w:p w:rsidR="00264C5B" w:rsidRPr="00F620DA" w:rsidRDefault="00264C5B" w:rsidP="006E6138">
            <w:pPr>
              <w:numPr>
                <w:ilvl w:val="0"/>
                <w:numId w:val="62"/>
              </w:numPr>
              <w:spacing w:before="60" w:after="60"/>
              <w:jc w:val="left"/>
            </w:pPr>
            <w:r w:rsidRPr="00F620DA">
              <w:t>dane z badania losów absolwentów</w:t>
            </w:r>
          </w:p>
        </w:tc>
        <w:tc>
          <w:tcPr>
            <w:tcW w:w="20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264C5B" w:rsidRPr="00F620DA" w:rsidRDefault="00264C5B" w:rsidP="00264C5B">
            <w:pPr>
              <w:spacing w:before="60" w:after="60"/>
              <w:jc w:val="left"/>
            </w:pPr>
            <w:r w:rsidRPr="00F620DA">
              <w:lastRenderedPageBreak/>
              <w:t xml:space="preserve">najwcześniej w połowie okresu programowania, po zakończeniu </w:t>
            </w:r>
            <w:r w:rsidRPr="00F620DA">
              <w:lastRenderedPageBreak/>
              <w:t>realizacji pierwszych dofinansowanych projektów</w:t>
            </w:r>
          </w:p>
        </w:tc>
        <w:tc>
          <w:tcPr>
            <w:tcW w:w="18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264C5B" w:rsidRPr="006E709E" w:rsidRDefault="00264C5B" w:rsidP="00264C5B">
            <w:pPr>
              <w:spacing w:before="60" w:after="60"/>
              <w:jc w:val="left"/>
            </w:pPr>
            <w:r w:rsidRPr="00F620DA">
              <w:lastRenderedPageBreak/>
              <w:t>średnie</w:t>
            </w:r>
          </w:p>
        </w:tc>
      </w:tr>
    </w:tbl>
    <w:p w:rsidR="00264C5B" w:rsidRDefault="00264C5B">
      <w:pPr>
        <w:jc w:val="left"/>
      </w:pPr>
    </w:p>
    <w:p w:rsidR="00264C5B" w:rsidRDefault="00264C5B">
      <w:pPr>
        <w:jc w:val="left"/>
        <w:sectPr w:rsidR="00264C5B" w:rsidSect="00264C5B">
          <w:pgSz w:w="16838" w:h="11906" w:orient="landscape"/>
          <w:pgMar w:top="1985" w:right="1418" w:bottom="1418" w:left="1418" w:header="709" w:footer="709" w:gutter="0"/>
          <w:cols w:space="708"/>
          <w:docGrid w:linePitch="360"/>
        </w:sectPr>
      </w:pPr>
    </w:p>
    <w:p w:rsidR="00230E9D" w:rsidRPr="0094273C" w:rsidRDefault="00230E9D" w:rsidP="004D673E">
      <w:pPr>
        <w:pStyle w:val="Nagwek2"/>
        <w:rPr>
          <w:rFonts w:asciiTheme="minorHAnsi" w:hAnsiTheme="minorHAnsi"/>
        </w:rPr>
      </w:pPr>
      <w:bookmarkStart w:id="46" w:name="_Toc384914429"/>
      <w:r w:rsidRPr="0094273C">
        <w:rPr>
          <w:rFonts w:asciiTheme="minorHAnsi" w:hAnsiTheme="minorHAnsi"/>
        </w:rPr>
        <w:lastRenderedPageBreak/>
        <w:t>Synteza strategicznej oceny oddziaływania na środowisko</w:t>
      </w:r>
      <w:bookmarkEnd w:id="0"/>
      <w:bookmarkEnd w:id="46"/>
    </w:p>
    <w:p w:rsidR="0094273C" w:rsidRPr="0094273C" w:rsidRDefault="0094273C" w:rsidP="004D673E">
      <w:pPr>
        <w:pStyle w:val="Nagwek3"/>
      </w:pPr>
      <w:bookmarkStart w:id="47" w:name="_Toc397925173"/>
      <w:bookmarkStart w:id="48" w:name="_Toc397925532"/>
      <w:r w:rsidRPr="0094273C">
        <w:t>Podstawy formalne, cel, zakres i metodyka</w:t>
      </w:r>
      <w:bookmarkEnd w:id="47"/>
      <w:bookmarkEnd w:id="48"/>
    </w:p>
    <w:p w:rsidR="0094273C" w:rsidRPr="0094273C" w:rsidRDefault="0094273C" w:rsidP="004D673E">
      <w:pPr>
        <w:ind w:firstLine="567"/>
      </w:pPr>
      <w:r w:rsidRPr="0094273C">
        <w:t>Stosownie do art. 46 ust. 2 ustawy z dnia 3 października 2008 roku o udostępnianiu informacji o środowisku i jego ochronie, udziale społeczeństwa w ochronie środowiska oraz o ocenach oddziaływania na środowisko (Dz. U. z 2013 r. poz. 1235) projekt Regionalnego Programu Operacyjnego Województwa Podkarpackiego wymaga przeprowadzenia procedury strategicznej oceny oddziaływania na środowisko, w ramach której sporządza się prognozę oddziaływania na środowisko.</w:t>
      </w:r>
    </w:p>
    <w:p w:rsidR="0094273C" w:rsidRPr="0094273C" w:rsidRDefault="0094273C" w:rsidP="004D673E">
      <w:pPr>
        <w:ind w:firstLine="567"/>
      </w:pPr>
      <w:r w:rsidRPr="0094273C">
        <w:t>W ustawie o udostępnianiu informacji (…) wdrożone zostały przepisy Wspólnoty Europejskiej dotyczące postępowania w sprawie strategicznych ocen oddziaływania na środowisko (Dyrektywa 2001/42/WE Parlamentu Europejskiego i Rady z dnia 27.06.2001 r. w sprawie oceny wpływu niektórych planów i programów na środowisko) oraz udziale społeczeństwa w sporządzaniu niektórych planów i programów w zakresie środowiska (Dyrektywa 2003/35/WE</w:t>
      </w:r>
      <w:r w:rsidRPr="0094273C">
        <w:rPr>
          <w:bCs/>
        </w:rPr>
        <w:t xml:space="preserve"> </w:t>
      </w:r>
      <w:r w:rsidRPr="0094273C">
        <w:t xml:space="preserve">Parlamentu Europejskiego i Rady z dnia 26 maja 2003 r. przewidującej udział społeczeństwa w odniesieniu do sporządzania niektórych planów i programów w zakresie środowiska oraz zmieniającej w odniesieniu do udziału społeczeństwa i dostępu do wymiaru sprawiedliwości </w:t>
      </w:r>
      <w:r w:rsidRPr="0094273C">
        <w:rPr>
          <w:rFonts w:eastAsia="Calibri"/>
          <w:bCs/>
        </w:rPr>
        <w:t>dyrektywy Rady 85/337/EWG i</w:t>
      </w:r>
      <w:r w:rsidRPr="0094273C">
        <w:t> </w:t>
      </w:r>
      <w:r w:rsidRPr="0094273C">
        <w:rPr>
          <w:rFonts w:eastAsia="Calibri"/>
          <w:bCs/>
        </w:rPr>
        <w:t>96/61/WE</w:t>
      </w:r>
      <w:r w:rsidRPr="0094273C">
        <w:t>).</w:t>
      </w:r>
    </w:p>
    <w:p w:rsidR="0094273C" w:rsidRPr="0094273C" w:rsidRDefault="0094273C" w:rsidP="004D673E">
      <w:pPr>
        <w:ind w:firstLine="567"/>
      </w:pPr>
      <w:r w:rsidRPr="0094273C">
        <w:t>Prognoza została opracowana zgodnie z</w:t>
      </w:r>
      <w:r w:rsidRPr="0094273C">
        <w:rPr>
          <w:bCs/>
        </w:rPr>
        <w:t xml:space="preserve"> art. 51 ustawy z dnia 3 października 2008 roku o udostępnianiu informacji o środowisku i jego ochronie, udziale społeczeństwa w ochronie środowiska oraz o ocenach oddziaływania na środowisko oraz zgodnie </w:t>
      </w:r>
      <w:r w:rsidRPr="0094273C">
        <w:t>z zakresem i stopniem szczegółowości uzgodnionym z Państwowym Wojewódzkim Inspektorem Sanitarnym w Rzeszowie oraz Regionalnym Dyrektorem Ochrony Środowiska w Rzeszowie.</w:t>
      </w:r>
    </w:p>
    <w:p w:rsidR="0094273C" w:rsidRPr="0094273C" w:rsidRDefault="0094273C" w:rsidP="004D673E">
      <w:pPr>
        <w:ind w:firstLine="567"/>
      </w:pPr>
      <w:r w:rsidRPr="0094273C">
        <w:t xml:space="preserve">Celem opracowania Prognozy oddziaływania na środowisko jest, m.in.: identyfikacja możliwych do określenia skutków środowiskowych realizacji typów projektów określonych w ramach priorytetów inwestycyjnych, ustalenie czy realizacja założonych celów sprzyja ochronie środowiska przyrodniczego i zrównoważonemu rozwojowi województwa podkarpackiego. </w:t>
      </w:r>
    </w:p>
    <w:p w:rsidR="0094273C" w:rsidRPr="0094273C" w:rsidRDefault="0094273C" w:rsidP="004D673E">
      <w:pPr>
        <w:pStyle w:val="Bezodstpw"/>
        <w:spacing w:line="276" w:lineRule="auto"/>
        <w:ind w:firstLine="567"/>
        <w:jc w:val="both"/>
      </w:pPr>
      <w:r w:rsidRPr="0094273C">
        <w:t xml:space="preserve">Prognoza oddziaływania na środowisko powstała w wyniku analizy treści projektu RPO i oceny wpływu na środowisko realizacji określonych w nim typów projektów. </w:t>
      </w:r>
    </w:p>
    <w:p w:rsidR="0094273C" w:rsidRPr="0094273C" w:rsidRDefault="0094273C" w:rsidP="004D673E">
      <w:pPr>
        <w:pStyle w:val="Bezodstpw"/>
        <w:spacing w:line="276" w:lineRule="auto"/>
        <w:ind w:firstLine="567"/>
        <w:jc w:val="both"/>
      </w:pPr>
      <w:r w:rsidRPr="0094273C">
        <w:t xml:space="preserve">W analizach i ocenach uwzględniono m.in. wpływ na różnorodność biologiczną, zwierzęta, siedliska przyrodnicze, jednolite części wód, obszary chronione na podstawie ustawy o ochronie przyrody, szczególnie na obszary Natura 2000, oraz na zdrowie ludzi, krajobraz, zabytki etc. </w:t>
      </w:r>
    </w:p>
    <w:p w:rsidR="0094273C" w:rsidRPr="0094273C" w:rsidRDefault="0094273C" w:rsidP="004D673E">
      <w:pPr>
        <w:pStyle w:val="Bezodstpw"/>
        <w:spacing w:line="276" w:lineRule="auto"/>
        <w:ind w:firstLine="567"/>
        <w:jc w:val="both"/>
      </w:pPr>
      <w:r w:rsidRPr="0094273C">
        <w:t>Podczas prac nad prognozą przyjęto, że wszystkie realizowane w ramach osi priorytetowych typy projektów będą spełniały wszelkie, określone obowiązującym prawem wymagania i będą zastosowane najnowsze technologie i techniki. Posłużono się metodą ekspercką oraz metodą analogii, czyli podobieństwa zjawisk.</w:t>
      </w:r>
    </w:p>
    <w:p w:rsidR="0094273C" w:rsidRPr="0094273C" w:rsidRDefault="0094273C" w:rsidP="004D673E">
      <w:pPr>
        <w:pStyle w:val="Nagwek3"/>
      </w:pPr>
      <w:bookmarkStart w:id="49" w:name="_Toc378314148"/>
      <w:bookmarkStart w:id="50" w:name="_Toc378314359"/>
      <w:bookmarkStart w:id="51" w:name="_Toc378661597"/>
      <w:bookmarkStart w:id="52" w:name="_Toc384300279"/>
      <w:bookmarkStart w:id="53" w:name="_Toc397925174"/>
      <w:bookmarkStart w:id="54" w:name="_Toc397925533"/>
      <w:r w:rsidRPr="0094273C">
        <w:lastRenderedPageBreak/>
        <w:t>Informacja o zawartości, głównych celach projektu RPO oraz o powiązaniach z innymi dokumentami</w:t>
      </w:r>
      <w:bookmarkEnd w:id="49"/>
      <w:bookmarkEnd w:id="50"/>
      <w:bookmarkEnd w:id="51"/>
      <w:bookmarkEnd w:id="52"/>
      <w:bookmarkEnd w:id="53"/>
      <w:bookmarkEnd w:id="54"/>
    </w:p>
    <w:p w:rsidR="0094273C" w:rsidRPr="0094273C" w:rsidRDefault="0094273C" w:rsidP="004D673E">
      <w:pPr>
        <w:pStyle w:val="Nagwek4"/>
      </w:pPr>
      <w:bookmarkStart w:id="55" w:name="_Toc397925175"/>
      <w:bookmarkStart w:id="56" w:name="_Toc397925534"/>
      <w:r w:rsidRPr="0094273C">
        <w:t>Informacja o zawartości, głównych celach projektu RPO</w:t>
      </w:r>
      <w:bookmarkEnd w:id="55"/>
      <w:bookmarkEnd w:id="56"/>
    </w:p>
    <w:p w:rsidR="0094273C" w:rsidRPr="0094273C" w:rsidRDefault="0094273C" w:rsidP="004D673E">
      <w:pPr>
        <w:pStyle w:val="Bezodstpw"/>
        <w:spacing w:line="276" w:lineRule="auto"/>
        <w:ind w:firstLine="567"/>
        <w:jc w:val="both"/>
      </w:pPr>
      <w:r w:rsidRPr="0094273C">
        <w:t xml:space="preserve">Projekt Regionalnego Programu Operacyjnego Województwa Podkarpackiego na lata </w:t>
      </w:r>
      <w:r w:rsidRPr="0094273C">
        <w:br/>
        <w:t xml:space="preserve">2014-2020 jest najważniejszym instrumentem polityki rozwoju regionu dla nowej perspektywy finansowej UE. Program ten nawiązuje bezpośrednio do celów strategicznych, priorytetów i kierunków działań określonych w Strategii Rozwoju Województwa – Podkarpackie 2020. </w:t>
      </w:r>
    </w:p>
    <w:p w:rsidR="0094273C" w:rsidRPr="0094273C" w:rsidRDefault="0094273C" w:rsidP="004D673E">
      <w:pPr>
        <w:pStyle w:val="Bezodstpw"/>
        <w:spacing w:line="276" w:lineRule="auto"/>
        <w:ind w:firstLine="567"/>
        <w:jc w:val="both"/>
      </w:pPr>
    </w:p>
    <w:p w:rsidR="0094273C" w:rsidRPr="0094273C" w:rsidRDefault="0094273C" w:rsidP="004D673E">
      <w:pPr>
        <w:pStyle w:val="Bezodstpw"/>
        <w:spacing w:line="276" w:lineRule="auto"/>
        <w:ind w:firstLine="567"/>
        <w:jc w:val="both"/>
        <w:rPr>
          <w:b/>
        </w:rPr>
      </w:pPr>
      <w:r w:rsidRPr="0094273C">
        <w:t>Cel główny projektu RPO został sformułowany następująco: „</w:t>
      </w:r>
      <w:r w:rsidRPr="0094273C">
        <w:rPr>
          <w:b/>
        </w:rPr>
        <w:t>Wzmocnienie i efektywne wykorzystanie gospodarczych i społecznych potencjałów regionu dla zrównoważonego i inteligentnego rozwoju województwa</w:t>
      </w:r>
      <w:r w:rsidRPr="0094273C">
        <w:t>”.</w:t>
      </w:r>
      <w:r w:rsidRPr="0094273C">
        <w:rPr>
          <w:b/>
        </w:rPr>
        <w:t xml:space="preserve"> </w:t>
      </w:r>
    </w:p>
    <w:p w:rsidR="0094273C" w:rsidRPr="0094273C" w:rsidRDefault="0094273C" w:rsidP="004D673E">
      <w:pPr>
        <w:pStyle w:val="Bezodstpw"/>
        <w:spacing w:line="276" w:lineRule="auto"/>
        <w:jc w:val="both"/>
        <w:rPr>
          <w:b/>
        </w:rPr>
      </w:pPr>
    </w:p>
    <w:p w:rsidR="0094273C" w:rsidRPr="0094273C" w:rsidRDefault="0094273C" w:rsidP="004D673E">
      <w:pPr>
        <w:pStyle w:val="Bezodstpw"/>
        <w:spacing w:line="276" w:lineRule="auto"/>
        <w:ind w:firstLine="567"/>
        <w:jc w:val="both"/>
        <w:rPr>
          <w:b/>
        </w:rPr>
      </w:pPr>
      <w:r w:rsidRPr="0094273C">
        <w:rPr>
          <w:b/>
        </w:rPr>
        <w:t>W projekcie RPO sformułowano 10 osi priorytetowych tj.:</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I. Konkurencyjna i innowacyjna gospodarka</w:t>
      </w:r>
      <w:r w:rsidRPr="0094273C">
        <w:rPr>
          <w:b/>
        </w:rPr>
        <w:t xml:space="preserve">. </w:t>
      </w:r>
    </w:p>
    <w:p w:rsidR="0094273C" w:rsidRPr="0094273C" w:rsidRDefault="0094273C" w:rsidP="006E6138">
      <w:pPr>
        <w:pStyle w:val="Bezodstpw"/>
        <w:numPr>
          <w:ilvl w:val="0"/>
          <w:numId w:val="117"/>
        </w:numPr>
        <w:spacing w:line="276" w:lineRule="auto"/>
        <w:ind w:left="709" w:hanging="283"/>
        <w:jc w:val="both"/>
        <w:rPr>
          <w:b/>
        </w:rPr>
      </w:pPr>
      <w:r w:rsidRPr="0094273C">
        <w:rPr>
          <w:b/>
        </w:rPr>
        <w:t>II. Cyfrowe Podkarpacie.</w:t>
      </w:r>
    </w:p>
    <w:p w:rsidR="0094273C" w:rsidRPr="0094273C" w:rsidRDefault="0094273C" w:rsidP="006E6138">
      <w:pPr>
        <w:pStyle w:val="Bezodstpw"/>
        <w:numPr>
          <w:ilvl w:val="0"/>
          <w:numId w:val="117"/>
        </w:numPr>
        <w:spacing w:line="276" w:lineRule="auto"/>
        <w:ind w:left="709" w:hanging="283"/>
        <w:jc w:val="both"/>
        <w:rPr>
          <w:b/>
        </w:rPr>
      </w:pPr>
      <w:r w:rsidRPr="0094273C">
        <w:rPr>
          <w:b/>
        </w:rPr>
        <w:t>III. Czysta energia.</w:t>
      </w:r>
    </w:p>
    <w:p w:rsidR="0094273C" w:rsidRPr="0094273C" w:rsidRDefault="0094273C" w:rsidP="006E6138">
      <w:pPr>
        <w:pStyle w:val="Bezodstpw"/>
        <w:numPr>
          <w:ilvl w:val="0"/>
          <w:numId w:val="117"/>
        </w:numPr>
        <w:spacing w:line="276" w:lineRule="auto"/>
        <w:ind w:left="709" w:hanging="283"/>
        <w:jc w:val="both"/>
        <w:rPr>
          <w:b/>
        </w:rPr>
      </w:pPr>
      <w:r w:rsidRPr="0094273C">
        <w:rPr>
          <w:b/>
        </w:rPr>
        <w:t>IV. Ochrona środowiska naturalnego i dziedzictwa kulturowego.</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V. Infrastruktura komunikacyjna.</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VI. Spójność przestrzenna i społeczna.</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VII. Regionalny rynek pracy.</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VIII. Integracja społeczna.</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IX. Jakość edukacji i kompetencji w regionie.</w:t>
      </w:r>
    </w:p>
    <w:p w:rsidR="0094273C" w:rsidRPr="0094273C" w:rsidRDefault="0094273C" w:rsidP="006E6138">
      <w:pPr>
        <w:pStyle w:val="Bezodstpw"/>
        <w:numPr>
          <w:ilvl w:val="0"/>
          <w:numId w:val="117"/>
        </w:numPr>
        <w:spacing w:line="276" w:lineRule="auto"/>
        <w:ind w:left="709" w:hanging="283"/>
        <w:jc w:val="both"/>
        <w:rPr>
          <w:b/>
        </w:rPr>
      </w:pPr>
      <w:r w:rsidRPr="0094273C">
        <w:rPr>
          <w:b/>
          <w:lang w:bidi="en-US"/>
        </w:rPr>
        <w:t>X. Pomoc techniczna.</w:t>
      </w:r>
    </w:p>
    <w:p w:rsidR="0094273C" w:rsidRPr="0094273C" w:rsidRDefault="0094273C" w:rsidP="004D673E">
      <w:pPr>
        <w:pStyle w:val="Bezodstpw"/>
        <w:spacing w:line="276" w:lineRule="auto"/>
        <w:ind w:firstLine="567"/>
        <w:jc w:val="both"/>
        <w:rPr>
          <w:iCs/>
        </w:rPr>
      </w:pPr>
    </w:p>
    <w:p w:rsidR="0094273C" w:rsidRPr="0094273C" w:rsidRDefault="0094273C" w:rsidP="004D673E">
      <w:pPr>
        <w:pStyle w:val="Bezodstpw"/>
        <w:spacing w:line="276" w:lineRule="auto"/>
        <w:ind w:firstLine="567"/>
        <w:jc w:val="both"/>
      </w:pPr>
      <w:r w:rsidRPr="0094273C">
        <w:rPr>
          <w:iCs/>
        </w:rPr>
        <w:t>Poszczególnym osiom priorytetowym przyporządkowano cele tematyczne, priorytety inwestycyjne oraz typy projektów, jakie będą możliwe do realizacji w ramach poszczególnych priorytetów</w:t>
      </w:r>
      <w:r w:rsidRPr="0094273C">
        <w:t xml:space="preserve">. W projekcie RPO określono także </w:t>
      </w:r>
      <w:r w:rsidRPr="0094273C">
        <w:rPr>
          <w:iCs/>
        </w:rPr>
        <w:t>ukierunkowanie terytorialne (</w:t>
      </w:r>
      <w:r w:rsidRPr="0094273C">
        <w:t>obszary objęte wsparciem</w:t>
      </w:r>
      <w:r w:rsidRPr="0094273C">
        <w:rPr>
          <w:iCs/>
        </w:rPr>
        <w:t>) oraz</w:t>
      </w:r>
      <w:r w:rsidRPr="0094273C">
        <w:t xml:space="preserve"> cele szczegółowe jakie zostaną osiągnięte poprzez realizację typów projektów z poszczególnych priorytetów inwestycyjnych.</w:t>
      </w:r>
    </w:p>
    <w:p w:rsidR="0094273C" w:rsidRPr="0094273C" w:rsidRDefault="0094273C" w:rsidP="004D673E">
      <w:pPr>
        <w:pStyle w:val="Nagwek4"/>
      </w:pPr>
      <w:bookmarkStart w:id="57" w:name="_Toc397925176"/>
      <w:bookmarkStart w:id="58" w:name="_Toc397925535"/>
      <w:bookmarkStart w:id="59" w:name="_Toc349130267"/>
      <w:bookmarkStart w:id="60" w:name="_Toc359241649"/>
      <w:bookmarkStart w:id="61" w:name="_Toc378314150"/>
      <w:bookmarkStart w:id="62" w:name="_Toc378314361"/>
      <w:bookmarkStart w:id="63" w:name="_Toc384300281"/>
      <w:r w:rsidRPr="0094273C">
        <w:t>Informacja o powiązaniach RPO z innymi dokumentami</w:t>
      </w:r>
      <w:bookmarkEnd w:id="57"/>
      <w:bookmarkEnd w:id="58"/>
    </w:p>
    <w:bookmarkEnd w:id="59"/>
    <w:bookmarkEnd w:id="60"/>
    <w:bookmarkEnd w:id="61"/>
    <w:bookmarkEnd w:id="62"/>
    <w:bookmarkEnd w:id="63"/>
    <w:p w:rsidR="0094273C" w:rsidRPr="0094273C" w:rsidRDefault="0094273C" w:rsidP="004D673E">
      <w:pPr>
        <w:ind w:firstLine="567"/>
      </w:pPr>
      <w:r w:rsidRPr="0094273C">
        <w:t xml:space="preserve">Analizowano powiązania projektu RPO z dokumentami </w:t>
      </w:r>
      <w:r w:rsidRPr="0094273C">
        <w:rPr>
          <w:b/>
        </w:rPr>
        <w:t xml:space="preserve">międzynarodowymi </w:t>
      </w:r>
      <w:r w:rsidRPr="0094273C">
        <w:t>(</w:t>
      </w:r>
      <w:r w:rsidRPr="0094273C">
        <w:rPr>
          <w:i/>
        </w:rPr>
        <w:t>Europa 2020. Strategia na rzecz inteligentnego i zrównoważonego rozwoju sprzyjającego włączeniu społecznemu</w:t>
      </w:r>
      <w:r w:rsidRPr="0094273C">
        <w:t>)</w:t>
      </w:r>
      <w:r w:rsidRPr="0094273C">
        <w:rPr>
          <w:b/>
        </w:rPr>
        <w:t xml:space="preserve">, krajowymi </w:t>
      </w:r>
      <w:r w:rsidRPr="0094273C">
        <w:t xml:space="preserve">(m.in. </w:t>
      </w:r>
      <w:r w:rsidRPr="0094273C">
        <w:rPr>
          <w:i/>
        </w:rPr>
        <w:t xml:space="preserve">Średniookresowa Strategia Rozwoju Kraju 2020, Strategia innowacyjności i efektywności gospodarki, Strategia Bezpieczeństwo Energetyczne i Środowisko, </w:t>
      </w:r>
      <w:r w:rsidRPr="0094273C">
        <w:rPr>
          <w:bCs/>
          <w:i/>
        </w:rPr>
        <w:t xml:space="preserve">Polityka Energetyczna Polski do 2030 roku, </w:t>
      </w:r>
      <w:r w:rsidRPr="0094273C">
        <w:rPr>
          <w:i/>
        </w:rPr>
        <w:t>Krajowa strategia ochrony i zrównoważonego użytkowania różnorodności biologicznej, Plan gospodarowania wodami na obszarze dorzecza Wisły, Krajowy Program Oczyszczania Ścieków Komunalnych, Program ochrony przed powodzią w dorzeczu górnej Wisły, Koncepcja Przestrzennego Zagospodarowania Kraju 2030</w:t>
      </w:r>
      <w:r w:rsidRPr="0094273C">
        <w:t>)</w:t>
      </w:r>
      <w:r w:rsidRPr="0094273C">
        <w:rPr>
          <w:b/>
        </w:rPr>
        <w:t xml:space="preserve"> </w:t>
      </w:r>
      <w:r w:rsidRPr="0094273C">
        <w:t xml:space="preserve">oraz </w:t>
      </w:r>
      <w:r w:rsidRPr="0094273C">
        <w:rPr>
          <w:b/>
        </w:rPr>
        <w:t>regionalnymi</w:t>
      </w:r>
      <w:r w:rsidRPr="0094273C">
        <w:t xml:space="preserve"> (</w:t>
      </w:r>
      <w:r w:rsidRPr="0094273C">
        <w:rPr>
          <w:i/>
        </w:rPr>
        <w:t xml:space="preserve">Strategia Rozwoju Województwa – Podkarpackie 2020, Plan Gospodarki Odpadami dla Województwa Podkarpackiego, Program Ochrony Środowiska dla Województwa Podkarpackiego na lata </w:t>
      </w:r>
      <w:r w:rsidRPr="0094273C">
        <w:rPr>
          <w:i/>
        </w:rPr>
        <w:br/>
        <w:t>2012-2015</w:t>
      </w:r>
      <w:r w:rsidRPr="0094273C">
        <w:t xml:space="preserve">). </w:t>
      </w:r>
    </w:p>
    <w:p w:rsidR="0094273C" w:rsidRPr="0094273C" w:rsidRDefault="0094273C" w:rsidP="004D673E">
      <w:pPr>
        <w:ind w:firstLine="567"/>
      </w:pPr>
      <w:r w:rsidRPr="0094273C">
        <w:lastRenderedPageBreak/>
        <w:t xml:space="preserve">Przeprowadzone analizy wykazują spójność i zgodność projektu RPO z opisanymi wyżej dokumentami szczebla międzynarodowego, krajowego i regionalnego. Podkreślić należy, że projekt RPO wypełnia cele i złożenia Koncepcji Przestrzennego Zagospodarowania Kraju 2030 poprzez </w:t>
      </w:r>
      <w:r w:rsidRPr="0094273C">
        <w:rPr>
          <w:i/>
        </w:rPr>
        <w:t>„e</w:t>
      </w:r>
      <w:r w:rsidRPr="0094273C">
        <w:rPr>
          <w:bCs/>
          <w:i/>
        </w:rPr>
        <w:t>fektywne wykorzystanie przestrzeni kraju i jej terytorialnie zróżnicowanych potencjałów rozwojowych dla osiągania ogólnych celów rozwojowych – konkurencyjności, zwiększenia zatrudnienia, sprawności funkcjonowania państwa oraz spójności w wymiarze społecznym, gospodarczym i terytorialnym w długim okresie”</w:t>
      </w:r>
      <w:r w:rsidRPr="0094273C">
        <w:t xml:space="preserve">. </w:t>
      </w:r>
    </w:p>
    <w:p w:rsidR="0094273C" w:rsidRPr="0094273C" w:rsidRDefault="0094273C" w:rsidP="004D673E">
      <w:pPr>
        <w:pStyle w:val="Nagwek4"/>
      </w:pPr>
      <w:bookmarkStart w:id="64" w:name="_Toc349130268"/>
      <w:bookmarkStart w:id="65" w:name="_Toc359241650"/>
      <w:bookmarkStart w:id="66" w:name="_Toc378314151"/>
      <w:bookmarkStart w:id="67" w:name="_Toc378314362"/>
      <w:bookmarkStart w:id="68" w:name="_Toc384300282"/>
      <w:bookmarkStart w:id="69" w:name="_Toc397925177"/>
      <w:bookmarkStart w:id="70" w:name="_Toc397925536"/>
      <w:r w:rsidRPr="0094273C">
        <w:t xml:space="preserve">Informacje zawarte w prognozach oddziaływania na środowisko przyjętych już dokumentów powiązanych z projektem </w:t>
      </w:r>
      <w:bookmarkEnd w:id="64"/>
      <w:bookmarkEnd w:id="65"/>
      <w:r w:rsidRPr="0094273C">
        <w:t>RPO</w:t>
      </w:r>
      <w:bookmarkEnd w:id="66"/>
      <w:bookmarkEnd w:id="67"/>
      <w:bookmarkEnd w:id="68"/>
      <w:bookmarkEnd w:id="69"/>
      <w:bookmarkEnd w:id="70"/>
    </w:p>
    <w:p w:rsidR="0094273C" w:rsidRPr="0094273C" w:rsidRDefault="0094273C" w:rsidP="004D673E">
      <w:pPr>
        <w:pStyle w:val="Bezodstpw"/>
        <w:spacing w:line="276" w:lineRule="auto"/>
        <w:ind w:firstLine="567"/>
        <w:jc w:val="both"/>
      </w:pPr>
      <w:r w:rsidRPr="0094273C">
        <w:t>W tej części Prognozy zawarto informacje z prognoz oddziaływania na środowisko przyjętych już dokumentów powiązanych z projektem RPO. Należą do nich prognozy oddziaływania</w:t>
      </w:r>
      <w:r w:rsidRPr="0094273C">
        <w:br/>
        <w:t>na środowisko m.in. takich dokumentów jak:</w:t>
      </w:r>
    </w:p>
    <w:p w:rsidR="0094273C" w:rsidRPr="0094273C" w:rsidRDefault="0094273C" w:rsidP="006E6138">
      <w:pPr>
        <w:numPr>
          <w:ilvl w:val="0"/>
          <w:numId w:val="89"/>
        </w:numPr>
        <w:spacing w:after="0"/>
        <w:ind w:left="709" w:hanging="284"/>
      </w:pPr>
      <w:r w:rsidRPr="0094273C">
        <w:t>Strategia Rozwoju Kraju 2020,</w:t>
      </w:r>
    </w:p>
    <w:p w:rsidR="0094273C" w:rsidRPr="0094273C" w:rsidRDefault="0094273C" w:rsidP="006E6138">
      <w:pPr>
        <w:numPr>
          <w:ilvl w:val="0"/>
          <w:numId w:val="89"/>
        </w:numPr>
        <w:spacing w:after="0"/>
        <w:ind w:left="709" w:hanging="284"/>
      </w:pPr>
      <w:r w:rsidRPr="0094273C">
        <w:t>Krajowa Strategia Rozwoju Regionalnego 2010-2020 Regiony, Miasta, Obszary Wiejskie,</w:t>
      </w:r>
    </w:p>
    <w:p w:rsidR="0094273C" w:rsidRPr="0094273C" w:rsidRDefault="0094273C" w:rsidP="006E6138">
      <w:pPr>
        <w:numPr>
          <w:ilvl w:val="0"/>
          <w:numId w:val="89"/>
        </w:numPr>
        <w:spacing w:after="0"/>
        <w:ind w:left="709" w:hanging="284"/>
      </w:pPr>
      <w:r w:rsidRPr="0094273C">
        <w:t>Koncepcja Przestrzennego Zagospodarowania Kraju 2030,</w:t>
      </w:r>
    </w:p>
    <w:p w:rsidR="0094273C" w:rsidRPr="0094273C" w:rsidRDefault="0094273C" w:rsidP="006E6138">
      <w:pPr>
        <w:numPr>
          <w:ilvl w:val="0"/>
          <w:numId w:val="89"/>
        </w:numPr>
        <w:spacing w:after="0"/>
        <w:ind w:left="709" w:hanging="284"/>
      </w:pPr>
      <w:r w:rsidRPr="0094273C">
        <w:t>Krajowy Program Oczyszczania Ścieków Komunalnych,</w:t>
      </w:r>
    </w:p>
    <w:p w:rsidR="0094273C" w:rsidRPr="0094273C" w:rsidRDefault="0094273C" w:rsidP="006E6138">
      <w:pPr>
        <w:numPr>
          <w:ilvl w:val="0"/>
          <w:numId w:val="89"/>
        </w:numPr>
        <w:spacing w:after="0"/>
        <w:ind w:left="709" w:hanging="284"/>
      </w:pPr>
      <w:r w:rsidRPr="0094273C">
        <w:t>Program ochrony przed powodzią w dorzeczu górnej Wisły,</w:t>
      </w:r>
    </w:p>
    <w:p w:rsidR="0094273C" w:rsidRPr="0094273C" w:rsidRDefault="0094273C" w:rsidP="006E6138">
      <w:pPr>
        <w:numPr>
          <w:ilvl w:val="0"/>
          <w:numId w:val="89"/>
        </w:numPr>
        <w:spacing w:after="0"/>
        <w:ind w:left="709" w:hanging="284"/>
      </w:pPr>
      <w:r w:rsidRPr="0094273C">
        <w:t>Strategia Bezpieczeństwo Energetyczne i Środowisko,</w:t>
      </w:r>
    </w:p>
    <w:p w:rsidR="0094273C" w:rsidRPr="0094273C" w:rsidRDefault="0094273C" w:rsidP="006E6138">
      <w:pPr>
        <w:numPr>
          <w:ilvl w:val="0"/>
          <w:numId w:val="89"/>
        </w:numPr>
        <w:spacing w:after="0"/>
        <w:ind w:left="709" w:hanging="284"/>
      </w:pPr>
      <w:r w:rsidRPr="0094273C">
        <w:t>Polityka Energetyczna Polski do 2030,</w:t>
      </w:r>
    </w:p>
    <w:p w:rsidR="0094273C" w:rsidRPr="0094273C" w:rsidRDefault="0094273C" w:rsidP="006E6138">
      <w:pPr>
        <w:numPr>
          <w:ilvl w:val="0"/>
          <w:numId w:val="89"/>
        </w:numPr>
        <w:spacing w:after="0"/>
        <w:ind w:left="709" w:hanging="284"/>
      </w:pPr>
      <w:r w:rsidRPr="0094273C">
        <w:t>Strategia Rozwoju Województwa – Podkarpackie 2020,</w:t>
      </w:r>
    </w:p>
    <w:p w:rsidR="0094273C" w:rsidRPr="0094273C" w:rsidRDefault="0094273C" w:rsidP="006E6138">
      <w:pPr>
        <w:numPr>
          <w:ilvl w:val="0"/>
          <w:numId w:val="89"/>
        </w:numPr>
        <w:spacing w:after="0"/>
        <w:ind w:left="709" w:hanging="284"/>
      </w:pPr>
      <w:r w:rsidRPr="0094273C">
        <w:t>Plan Gospodarki Odpadami dla Województwa Podkarpackiego,</w:t>
      </w:r>
    </w:p>
    <w:p w:rsidR="0094273C" w:rsidRPr="0094273C" w:rsidRDefault="0094273C" w:rsidP="006E6138">
      <w:pPr>
        <w:numPr>
          <w:ilvl w:val="0"/>
          <w:numId w:val="89"/>
        </w:numPr>
        <w:spacing w:after="0"/>
        <w:ind w:left="709" w:hanging="284"/>
      </w:pPr>
      <w:r w:rsidRPr="0094273C">
        <w:t>Program Ochrony Środowiska dla Województwa Podkarpackiego na lata 2012-2015,</w:t>
      </w:r>
    </w:p>
    <w:p w:rsidR="0094273C" w:rsidRPr="0094273C" w:rsidRDefault="0094273C" w:rsidP="006E6138">
      <w:pPr>
        <w:numPr>
          <w:ilvl w:val="0"/>
          <w:numId w:val="89"/>
        </w:numPr>
        <w:spacing w:after="0"/>
        <w:ind w:left="709" w:hanging="284"/>
      </w:pPr>
      <w:r w:rsidRPr="0094273C">
        <w:t>Strategia rozwoju transportu do 2020 r. (z perspektywą do 2030 r.)</w:t>
      </w:r>
    </w:p>
    <w:p w:rsidR="0094273C" w:rsidRPr="0094273C" w:rsidRDefault="0094273C" w:rsidP="004D673E">
      <w:pPr>
        <w:pStyle w:val="Nagwek3"/>
      </w:pPr>
      <w:bookmarkStart w:id="71" w:name="_Toc397925178"/>
      <w:bookmarkStart w:id="72" w:name="_Toc397925537"/>
      <w:bookmarkStart w:id="73" w:name="_Toc349130269"/>
      <w:bookmarkStart w:id="74" w:name="_Toc378314152"/>
      <w:bookmarkStart w:id="75" w:name="_Toc378314363"/>
      <w:bookmarkStart w:id="76" w:name="_Toc384300283"/>
      <w:r w:rsidRPr="0094273C">
        <w:t>Analiza i ocena istniejącego stanu środowiska na terenach objętych przewidywanym znaczącym oddziaływaniem</w:t>
      </w:r>
      <w:bookmarkEnd w:id="71"/>
      <w:bookmarkEnd w:id="72"/>
      <w:r w:rsidRPr="0094273C">
        <w:t xml:space="preserve"> </w:t>
      </w:r>
      <w:bookmarkEnd w:id="73"/>
      <w:bookmarkEnd w:id="74"/>
      <w:bookmarkEnd w:id="75"/>
      <w:bookmarkEnd w:id="76"/>
    </w:p>
    <w:p w:rsidR="0094273C" w:rsidRPr="0094273C" w:rsidRDefault="0094273C" w:rsidP="004D673E">
      <w:pPr>
        <w:pStyle w:val="Nagwek4"/>
      </w:pPr>
      <w:bookmarkStart w:id="77" w:name="_Toc349130271"/>
      <w:bookmarkStart w:id="78" w:name="_Toc359241652"/>
      <w:bookmarkStart w:id="79" w:name="_Toc378314154"/>
      <w:bookmarkStart w:id="80" w:name="_Toc378314365"/>
      <w:bookmarkStart w:id="81" w:name="_Toc384300285"/>
      <w:bookmarkStart w:id="82" w:name="_Toc397925179"/>
      <w:bookmarkStart w:id="83" w:name="_Toc397925538"/>
      <w:r w:rsidRPr="0094273C">
        <w:t>Położenie, rzeźba terenu, klimat</w:t>
      </w:r>
      <w:bookmarkEnd w:id="77"/>
      <w:bookmarkEnd w:id="78"/>
      <w:bookmarkEnd w:id="79"/>
      <w:bookmarkEnd w:id="80"/>
      <w:bookmarkEnd w:id="81"/>
      <w:bookmarkEnd w:id="82"/>
      <w:bookmarkEnd w:id="83"/>
    </w:p>
    <w:p w:rsidR="0094273C" w:rsidRPr="0094273C" w:rsidRDefault="0094273C" w:rsidP="004D673E">
      <w:pPr>
        <w:pStyle w:val="Bezodstpw"/>
        <w:spacing w:line="276" w:lineRule="auto"/>
        <w:ind w:firstLine="567"/>
        <w:jc w:val="both"/>
      </w:pPr>
      <w:r w:rsidRPr="0094273C">
        <w:t>Województwo podkarpackie leży w południowo-wschodniej części obszaru Polski. Jego południowa i wschodnia granica stanowi granicę państwową ze Słowacją i Ukrainą. Powierzchnia województwa wynosi 17 846 km</w:t>
      </w:r>
      <w:r w:rsidRPr="0094273C">
        <w:rPr>
          <w:vertAlign w:val="superscript"/>
        </w:rPr>
        <w:t>2</w:t>
      </w:r>
      <w:r w:rsidRPr="0094273C">
        <w:t>, co stanowi 5,7 % powierzchni kraju.</w:t>
      </w:r>
    </w:p>
    <w:p w:rsidR="0094273C" w:rsidRPr="0094273C" w:rsidRDefault="0094273C" w:rsidP="004D673E">
      <w:pPr>
        <w:pStyle w:val="Bezodstpw"/>
        <w:spacing w:line="276" w:lineRule="auto"/>
        <w:ind w:firstLine="567"/>
        <w:jc w:val="both"/>
      </w:pPr>
      <w:r w:rsidRPr="0094273C">
        <w:t xml:space="preserve">Rzeźba terenu jest zróżnicowana, regiony fizjograficzne układają się w dość wyraźne pasma o ogólnym przebiegu z północnego-zachodu na południowy-wschód. Północny obszar województwa charakteryzuje się równinnym ukształtowaniem terenu, natomiast środkowa i południowa część jest bardziej urozmaicona morfologicznie, występują tu pasma gór i pogórzy porozcinane dolinami rzecznymi. </w:t>
      </w:r>
    </w:p>
    <w:p w:rsidR="0094273C" w:rsidRPr="0094273C" w:rsidRDefault="0094273C" w:rsidP="004D673E">
      <w:pPr>
        <w:pStyle w:val="Bezodstpw"/>
        <w:spacing w:line="276" w:lineRule="auto"/>
        <w:ind w:firstLine="567"/>
        <w:jc w:val="both"/>
      </w:pPr>
      <w:r w:rsidRPr="0094273C">
        <w:t xml:space="preserve">Klimat województwa, podobnie jak Polski, ma charakter klimatu przejściowego strefy umiarkowanej ciepłej. Kształtują go masy powietrza kontynentalnego znad Europy południowo-wschodniej oraz morskiego napływającego z Europy północno-zachodniej. Jego zróżnicowanie w obrębie województwa wynika m.in. z położenia geograficznego, rzeźby oraz pokrycia terenu. </w:t>
      </w:r>
    </w:p>
    <w:p w:rsidR="0094273C" w:rsidRPr="0094273C" w:rsidRDefault="0094273C" w:rsidP="004D673E">
      <w:pPr>
        <w:pStyle w:val="Bezodstpw"/>
        <w:spacing w:line="276" w:lineRule="auto"/>
        <w:ind w:firstLine="567"/>
        <w:jc w:val="both"/>
      </w:pPr>
      <w:r w:rsidRPr="0094273C">
        <w:t>Występują tu głównie wiatry południowe, nawiązujące do układu dolin głównych rzek województwa.</w:t>
      </w:r>
    </w:p>
    <w:p w:rsidR="0094273C" w:rsidRPr="0094273C" w:rsidRDefault="0094273C" w:rsidP="004D673E">
      <w:pPr>
        <w:pStyle w:val="Nagwek4"/>
      </w:pPr>
      <w:bookmarkStart w:id="84" w:name="_Toc349130272"/>
      <w:bookmarkStart w:id="85" w:name="_Toc359241653"/>
      <w:bookmarkStart w:id="86" w:name="_Toc378314155"/>
      <w:bookmarkStart w:id="87" w:name="_Toc378314366"/>
      <w:bookmarkStart w:id="88" w:name="_Toc384300286"/>
      <w:bookmarkStart w:id="89" w:name="_Toc397925180"/>
      <w:bookmarkStart w:id="90" w:name="_Toc397925539"/>
      <w:r w:rsidRPr="0094273C">
        <w:lastRenderedPageBreak/>
        <w:t>Wody powierzchniowe i podziemne</w:t>
      </w:r>
      <w:bookmarkEnd w:id="84"/>
      <w:bookmarkEnd w:id="85"/>
      <w:bookmarkEnd w:id="86"/>
      <w:bookmarkEnd w:id="87"/>
      <w:bookmarkEnd w:id="88"/>
      <w:bookmarkEnd w:id="89"/>
      <w:bookmarkEnd w:id="90"/>
    </w:p>
    <w:p w:rsidR="0094273C" w:rsidRPr="0094273C" w:rsidRDefault="0094273C" w:rsidP="004D673E">
      <w:pPr>
        <w:ind w:firstLine="567"/>
      </w:pPr>
      <w:r w:rsidRPr="0094273C">
        <w:t xml:space="preserve">Województwo podkarpackie zaliczane jest do regionów posiadających stosunkowo duże zasoby wód powierzchniowych. Ponad 90 % jego powierzchni należy do zlewni Wisły w zlewisku Morza Bałtyckiego. Głównymi rzekami oprócz Wisły są San z Wisłokiem oraz Wisłoka. Pozostały obszar województwa należy do dorzecza Dniestru w zlewisku Morza Czarnego. </w:t>
      </w:r>
    </w:p>
    <w:p w:rsidR="0094273C" w:rsidRPr="0094273C" w:rsidRDefault="0094273C" w:rsidP="004D673E">
      <w:pPr>
        <w:pStyle w:val="Bezodstpw"/>
        <w:spacing w:line="276" w:lineRule="auto"/>
        <w:ind w:firstLine="567"/>
        <w:jc w:val="both"/>
      </w:pPr>
      <w:r w:rsidRPr="0094273C">
        <w:t>Mimo dużych zasobów wód powierzchniowych, województwo podkarpackie charakteryzuje się niedostatecznym zagospodarowaniem wód, wynikającym z nierównomiernego ich rozmieszczenia oraz dużej zmienności przepływów. W północno-zachodniej części województwa zasoby wód są znacznie większe niż w południowej. Wielkość zasobów wód waha się od 3,9 mld m</w:t>
      </w:r>
      <w:r w:rsidRPr="0094273C">
        <w:rPr>
          <w:vertAlign w:val="superscript"/>
        </w:rPr>
        <w:t xml:space="preserve">3 </w:t>
      </w:r>
      <w:r w:rsidRPr="0094273C">
        <w:t>w latach suchych, do 5,0 mld m</w:t>
      </w:r>
      <w:r w:rsidRPr="0094273C">
        <w:rPr>
          <w:vertAlign w:val="superscript"/>
        </w:rPr>
        <w:t>3</w:t>
      </w:r>
      <w:r w:rsidRPr="0094273C">
        <w:t xml:space="preserve"> w latach mokrych. </w:t>
      </w:r>
    </w:p>
    <w:p w:rsidR="0094273C" w:rsidRPr="0094273C" w:rsidRDefault="0094273C" w:rsidP="004D673E">
      <w:pPr>
        <w:ind w:firstLine="567"/>
      </w:pPr>
      <w:r w:rsidRPr="0094273C">
        <w:t xml:space="preserve">Zasoby wód podziemnych województwa podkarpackiego są nierównomiernie rozmieszczone oraz niewielkie (w porównaniu z zasobami innych regionów kraju). </w:t>
      </w:r>
    </w:p>
    <w:p w:rsidR="0094273C" w:rsidRPr="0094273C" w:rsidRDefault="0094273C" w:rsidP="004D673E">
      <w:pPr>
        <w:ind w:firstLine="567"/>
      </w:pPr>
      <w:r w:rsidRPr="0094273C">
        <w:t>Suma zasobów dyspozycyjnych i perspektywicznych dla województwa podkarpackiego wynosi 2647,5 m</w:t>
      </w:r>
      <w:r w:rsidRPr="0094273C">
        <w:rPr>
          <w:vertAlign w:val="superscript"/>
        </w:rPr>
        <w:t>3</w:t>
      </w:r>
      <w:r w:rsidRPr="0094273C">
        <w:t>/24h/km</w:t>
      </w:r>
      <w:r w:rsidRPr="0094273C">
        <w:rPr>
          <w:vertAlign w:val="superscript"/>
        </w:rPr>
        <w:t>2</w:t>
      </w:r>
      <w:r w:rsidRPr="0094273C">
        <w:t xml:space="preserve"> (wg PIG), najwięcej w powiatach: leżajskim, lubaczowskim, niżańskim, leskim oraz w Tarnobrzegu (powyżej 140 m</w:t>
      </w:r>
      <w:r w:rsidRPr="0094273C">
        <w:rPr>
          <w:vertAlign w:val="superscript"/>
        </w:rPr>
        <w:t>3</w:t>
      </w:r>
      <w:r w:rsidRPr="0094273C">
        <w:t>/24h/km</w:t>
      </w:r>
      <w:r w:rsidRPr="0094273C">
        <w:rPr>
          <w:vertAlign w:val="superscript"/>
        </w:rPr>
        <w:t>2</w:t>
      </w:r>
      <w:r w:rsidRPr="0094273C">
        <w:t>), najmniej w powiatach: brzozowskim, strzyżowskim oraz w mieście Krosno (poniżej 30 m</w:t>
      </w:r>
      <w:r w:rsidRPr="0094273C">
        <w:rPr>
          <w:vertAlign w:val="superscript"/>
        </w:rPr>
        <w:t>3</w:t>
      </w:r>
      <w:r w:rsidRPr="0094273C">
        <w:t>/24h/km</w:t>
      </w:r>
      <w:r w:rsidRPr="0094273C">
        <w:rPr>
          <w:vertAlign w:val="superscript"/>
        </w:rPr>
        <w:t>2</w:t>
      </w:r>
      <w:r w:rsidRPr="0094273C">
        <w:t xml:space="preserve">). </w:t>
      </w:r>
    </w:p>
    <w:p w:rsidR="0094273C" w:rsidRPr="0094273C" w:rsidRDefault="0094273C" w:rsidP="004D673E">
      <w:pPr>
        <w:ind w:firstLine="567"/>
      </w:pPr>
      <w:r w:rsidRPr="0094273C">
        <w:t xml:space="preserve">Zasoby rozmieszczone są w Głównych Zbiornikach Wód Podziemnych (GZWP). Na obszarze województwa podkarpackiego znajduje się, w całości lub w części, 10 GZWP. </w:t>
      </w:r>
    </w:p>
    <w:p w:rsidR="0094273C" w:rsidRPr="0094273C" w:rsidRDefault="0094273C" w:rsidP="004D673E">
      <w:pPr>
        <w:pStyle w:val="Nagwek4"/>
      </w:pPr>
      <w:bookmarkStart w:id="91" w:name="_Toc378314367"/>
      <w:bookmarkStart w:id="92" w:name="_Toc384300287"/>
      <w:bookmarkStart w:id="93" w:name="_Toc397925181"/>
      <w:bookmarkStart w:id="94" w:name="_Toc397925540"/>
      <w:r w:rsidRPr="0094273C">
        <w:t>Identyfikacja i stan czystości jednolitych części wód powierzchniowych</w:t>
      </w:r>
      <w:bookmarkEnd w:id="91"/>
      <w:bookmarkEnd w:id="92"/>
      <w:bookmarkEnd w:id="93"/>
      <w:bookmarkEnd w:id="94"/>
      <w:r w:rsidRPr="0094273C">
        <w:t xml:space="preserve"> </w:t>
      </w:r>
    </w:p>
    <w:p w:rsidR="0094273C" w:rsidRPr="0094273C" w:rsidRDefault="0094273C" w:rsidP="004D673E">
      <w:pPr>
        <w:pStyle w:val="Bezodstpw"/>
        <w:spacing w:line="276" w:lineRule="auto"/>
        <w:ind w:firstLine="567"/>
        <w:jc w:val="both"/>
      </w:pPr>
      <w:r w:rsidRPr="0094273C">
        <w:t xml:space="preserve">Łącznie na terenie województwa, na obu dorzeczach, wyznaczono 349 jednolitych części wód powierzchniowych (JCWP). Znajdują się one w całości lub w części w obrębie województwa. Określono dla nich 11 typów, przy czym dla cieków sztucznych – np. zbiorników zaporowych, nie wyznaczono typologii. </w:t>
      </w:r>
    </w:p>
    <w:p w:rsidR="0094273C" w:rsidRPr="0094273C" w:rsidRDefault="0094273C" w:rsidP="004D673E">
      <w:pPr>
        <w:ind w:firstLine="567"/>
      </w:pPr>
      <w:r w:rsidRPr="0094273C">
        <w:t>Spośród wszystkich JCWP występujących w województwie, większość – 70 % – posiada status naturalnych części wód, 28% to silnie zmieniona, a 2% – sztuczna część wód.</w:t>
      </w:r>
    </w:p>
    <w:p w:rsidR="0094273C" w:rsidRPr="0094273C" w:rsidRDefault="0094273C" w:rsidP="004D673E">
      <w:pPr>
        <w:ind w:firstLine="567"/>
      </w:pPr>
      <w:r w:rsidRPr="0094273C">
        <w:t xml:space="preserve">Dla jednolitych części wód zostały określone cele środowiskowe uwzględniające wartości graniczne wskaźników fizyko-chemicznych, biologicznych i hydromorfologicznych oceniających stan ekologiczny wód oraz wskaźników chemicznych charakteryzujących stan chemiczny wód. Celem środowiskowym dla naturalnych JCWP będących w bardzo dobrym i dobrym stanie/potencjale ekologicznym będzie jego utrzymanie, dla pozostałych naturalnych części wód celem będzie osiągniecie co najmniej dobrego stanu ekologicznego, dla części wód silnie zmienionych oraz sztucznych – co najmniej dobrego potencjału ekologicznego. </w:t>
      </w:r>
    </w:p>
    <w:p w:rsidR="0094273C" w:rsidRPr="0094273C" w:rsidRDefault="0094273C" w:rsidP="004D673E">
      <w:pPr>
        <w:ind w:firstLine="567"/>
      </w:pPr>
      <w:r w:rsidRPr="0094273C">
        <w:t xml:space="preserve">W obszarach chronionych będących jednolitymi częściami wód obowiązują takie same zasady określania celów środowiskowych, ponadto konieczne jest również utrzymanie lub osiągnięcie co najmniej dobrego stanu chemicznego. </w:t>
      </w:r>
    </w:p>
    <w:p w:rsidR="0094273C" w:rsidRPr="0094273C" w:rsidRDefault="0094273C" w:rsidP="004D673E">
      <w:pPr>
        <w:ind w:firstLine="567"/>
      </w:pPr>
      <w:r w:rsidRPr="0094273C">
        <w:rPr>
          <w:b/>
        </w:rPr>
        <w:t>Zgodnie z art. 4 Ramową Dyrektywą Wodną (RDW) cele środowiskowe dla wód powierzchniowych powinny zostać osiągnięte do 2015 r.</w:t>
      </w:r>
    </w:p>
    <w:p w:rsidR="0094273C" w:rsidRPr="0094273C" w:rsidRDefault="0094273C" w:rsidP="004D673E">
      <w:pPr>
        <w:ind w:firstLine="567"/>
      </w:pPr>
      <w:r w:rsidRPr="0094273C">
        <w:t xml:space="preserve">Ocena ryzyka nieosiągnięcia celów środowiskowych przedstawia się następująco: </w:t>
      </w:r>
    </w:p>
    <w:p w:rsidR="0094273C" w:rsidRPr="0094273C" w:rsidRDefault="0094273C" w:rsidP="006E6138">
      <w:pPr>
        <w:numPr>
          <w:ilvl w:val="0"/>
          <w:numId w:val="110"/>
        </w:numPr>
        <w:spacing w:after="0"/>
        <w:ind w:left="782" w:hanging="356"/>
      </w:pPr>
      <w:r w:rsidRPr="0094273C">
        <w:lastRenderedPageBreak/>
        <w:t xml:space="preserve">325 JCWP (93 %) nie jest zagrożona nieosiągnięciem celów środowiskowych, </w:t>
      </w:r>
    </w:p>
    <w:p w:rsidR="0094273C" w:rsidRPr="0094273C" w:rsidRDefault="0094273C" w:rsidP="006E6138">
      <w:pPr>
        <w:numPr>
          <w:ilvl w:val="0"/>
          <w:numId w:val="110"/>
        </w:numPr>
        <w:spacing w:after="0"/>
        <w:ind w:left="709" w:hanging="284"/>
      </w:pPr>
      <w:r w:rsidRPr="0094273C">
        <w:t>24 JCWP (7 %) znajduje się w grupie ryzyka nieosiągnięcia wyznaczonych celów środowiskowych.</w:t>
      </w:r>
    </w:p>
    <w:p w:rsidR="0094273C" w:rsidRPr="0094273C" w:rsidRDefault="0094273C" w:rsidP="004D673E">
      <w:pPr>
        <w:ind w:firstLine="567"/>
      </w:pPr>
      <w:r w:rsidRPr="0094273C">
        <w:t xml:space="preserve">Spośród 24 JCWP zagrożonych nieosiągnięciem celów środowiskowych 15 posiada wyznaczone derogacje. </w:t>
      </w:r>
    </w:p>
    <w:p w:rsidR="0094273C" w:rsidRPr="0094273C" w:rsidRDefault="0094273C" w:rsidP="004D673E">
      <w:pPr>
        <w:pStyle w:val="Bezodstpw"/>
        <w:spacing w:line="276" w:lineRule="auto"/>
        <w:ind w:firstLine="567"/>
        <w:jc w:val="both"/>
      </w:pPr>
      <w:r w:rsidRPr="0094273C">
        <w:t xml:space="preserve">Ocena jakości jednolitych części wód powierzchniowych przygotowana przez Wojewódzki Inspektorat Ochrony Środowiska w Rzeszowie (WIOŚ w Rzeszowie) została opracowana w 2012 r. dla 94 JCWP. </w:t>
      </w:r>
    </w:p>
    <w:p w:rsidR="0094273C" w:rsidRPr="0094273C" w:rsidRDefault="0094273C" w:rsidP="004D673E">
      <w:pPr>
        <w:pStyle w:val="Bezodstpw"/>
        <w:spacing w:line="276" w:lineRule="auto"/>
        <w:ind w:firstLine="567"/>
        <w:jc w:val="both"/>
      </w:pPr>
      <w:r w:rsidRPr="0094273C">
        <w:rPr>
          <w:b/>
        </w:rPr>
        <w:t>Stan ekologiczny</w:t>
      </w:r>
      <w:r w:rsidRPr="0094273C">
        <w:t xml:space="preserve">, charakteryzujący naturalne części wód określono dla 47 spośród nich (50%). Nie stwierdzono złego stanu, bardzo dobry stan w 3 JCWP, dobry w 22, umiarkowany i słaby łącznie w 22 JCWP. W pozostałych 47 JCWP silnie zmienionych i sztucznych określono </w:t>
      </w:r>
      <w:r w:rsidRPr="0094273C">
        <w:rPr>
          <w:b/>
        </w:rPr>
        <w:t>potencjał ekologiczny</w:t>
      </w:r>
      <w:r w:rsidRPr="0094273C">
        <w:t xml:space="preserve">: dobry i powyżej dobrego w 16 JCWP, umiarkowany i słaby łącznie w 30 JCWP, a zły w 1 silnie zmienionej JCWP. </w:t>
      </w:r>
    </w:p>
    <w:p w:rsidR="0094273C" w:rsidRPr="0094273C" w:rsidRDefault="0094273C" w:rsidP="004D673E">
      <w:pPr>
        <w:ind w:firstLine="567"/>
      </w:pPr>
      <w:r w:rsidRPr="0094273C">
        <w:t xml:space="preserve">W ramach oceny spełnienia wymagań: </w:t>
      </w:r>
    </w:p>
    <w:p w:rsidR="0094273C" w:rsidRPr="0094273C" w:rsidRDefault="0094273C" w:rsidP="006E6138">
      <w:pPr>
        <w:numPr>
          <w:ilvl w:val="0"/>
          <w:numId w:val="113"/>
        </w:numPr>
        <w:spacing w:after="0"/>
        <w:ind w:hanging="295"/>
      </w:pPr>
      <w:r w:rsidRPr="0094273C">
        <w:t xml:space="preserve">w obszarach chronionych będących jednolitymi częściami wód przeznaczonymi do poboru wody na potrzeby zaopatrzenia ludności w wodę przeznaczoną do spożycia – spośród przebadanych 17 JCWP, w 15 (88,2 %) odnotowano spełnienie przyjętych wymagań, </w:t>
      </w:r>
    </w:p>
    <w:p w:rsidR="0094273C" w:rsidRPr="0094273C" w:rsidRDefault="0094273C" w:rsidP="006E6138">
      <w:pPr>
        <w:numPr>
          <w:ilvl w:val="0"/>
          <w:numId w:val="113"/>
        </w:numPr>
        <w:spacing w:after="0"/>
        <w:ind w:hanging="295"/>
      </w:pPr>
      <w:r w:rsidRPr="0094273C">
        <w:t>w obszarach przeznaczonych do ochrony gatunków zwierząt wodnych o znaczeniu gospodarczym oraz obszarów przeznaczonych do ochrony siedlisk lub gatunków – spośród 30 JCWP poddanych ocenie 21 (70 %) spełniało wymagania w przyjętym zakresie,</w:t>
      </w:r>
    </w:p>
    <w:p w:rsidR="0094273C" w:rsidRPr="0094273C" w:rsidRDefault="0094273C" w:rsidP="006E6138">
      <w:pPr>
        <w:numPr>
          <w:ilvl w:val="0"/>
          <w:numId w:val="113"/>
        </w:numPr>
        <w:spacing w:after="0"/>
        <w:ind w:hanging="295"/>
      </w:pPr>
      <w:r w:rsidRPr="0094273C">
        <w:t>w obszarach chronionych będących jednolitymi częściami wód przeznaczonymi do celów rekreacyjnych, w tym kąpieliskowych – spośród 6 JCWP 3 z nich (50 %) spełniły wymagania,</w:t>
      </w:r>
    </w:p>
    <w:p w:rsidR="0094273C" w:rsidRPr="0094273C" w:rsidRDefault="0094273C" w:rsidP="006E6138">
      <w:pPr>
        <w:numPr>
          <w:ilvl w:val="0"/>
          <w:numId w:val="113"/>
        </w:numPr>
        <w:spacing w:after="0"/>
        <w:ind w:hanging="295"/>
      </w:pPr>
      <w:r w:rsidRPr="0094273C">
        <w:t>w obszarach chronionych wrażliwych na eutrofizację wywołaną zanieczyszczeniami ze źródeł komunalnych – spośród 94 JCWP w 47 (50%) stwierdzono spełnienie wymagań. Eutrofizacja wywołana zanieczyszczeniami ze źródeł rolniczych nie występuje w województwie podkarpackim i nie ma potrzeby przeprowadzania oceny stanu w tym zakresie.</w:t>
      </w:r>
    </w:p>
    <w:p w:rsidR="0094273C" w:rsidRPr="0094273C" w:rsidRDefault="0094273C" w:rsidP="004D673E">
      <w:pPr>
        <w:ind w:firstLine="567"/>
      </w:pPr>
      <w:r w:rsidRPr="0094273C">
        <w:rPr>
          <w:b/>
        </w:rPr>
        <w:t>Badaniami stanu chemicznego</w:t>
      </w:r>
      <w:r w:rsidRPr="0094273C">
        <w:t xml:space="preserve"> objęto 37 JCWP. W trzech z nich (8,1 %) odnotowano stan chemiczny poniżej dobrego Przyczyną obniżenia jakości była obecność stężeń wielopierścieniowych węglowodorów aromatycznych. </w:t>
      </w:r>
    </w:p>
    <w:p w:rsidR="0094273C" w:rsidRPr="0094273C" w:rsidRDefault="0094273C" w:rsidP="004D673E">
      <w:pPr>
        <w:ind w:firstLine="567"/>
      </w:pPr>
      <w:r w:rsidRPr="0094273C">
        <w:t xml:space="preserve">W ocenie stanu wód powierzchniowych brane są pod uwagę wyniki stanu/potencjału ekologicznego oraz stanu chemicznego. W latach 2010-2012 przeprowadzono ją dla 69 JCWP. W 57 JCWP (82,6 %) stwierdzono zły stan wód, w pozostałych 12 dobry, m.in. w górnych biegach Sanu, Wisłoka i Wisłoki oraz w dolnym biegu Wisłoki i Łukawicy dopływie dolnego Sanu. </w:t>
      </w:r>
    </w:p>
    <w:p w:rsidR="0094273C" w:rsidRPr="0094273C" w:rsidRDefault="0094273C" w:rsidP="004D673E">
      <w:pPr>
        <w:pStyle w:val="Nagwek4"/>
      </w:pPr>
      <w:bookmarkStart w:id="95" w:name="_Toc378314368"/>
      <w:bookmarkStart w:id="96" w:name="_Toc384300288"/>
      <w:bookmarkStart w:id="97" w:name="_Toc397925182"/>
      <w:bookmarkStart w:id="98" w:name="_Toc397925541"/>
      <w:r w:rsidRPr="0094273C">
        <w:t>Identyfikacja i stan czystości jednolitych części wód podziemnych</w:t>
      </w:r>
      <w:bookmarkEnd w:id="95"/>
      <w:bookmarkEnd w:id="96"/>
      <w:bookmarkEnd w:id="97"/>
      <w:bookmarkEnd w:id="98"/>
      <w:r w:rsidRPr="0094273C">
        <w:t xml:space="preserve"> </w:t>
      </w:r>
    </w:p>
    <w:p w:rsidR="0094273C" w:rsidRPr="0094273C" w:rsidRDefault="0094273C" w:rsidP="004D673E">
      <w:pPr>
        <w:ind w:firstLine="567"/>
      </w:pPr>
      <w:r w:rsidRPr="0094273C">
        <w:t>Na obszarze województwa podkarpackiego wydzielono 7 jednolitych części wód podziemnych (JCWPd), leżących w obrębie dorzecza Wisły oraz 1 JCWP obejmującą fragment dorzecza Dniestru.</w:t>
      </w:r>
    </w:p>
    <w:p w:rsidR="0094273C" w:rsidRPr="0094273C" w:rsidRDefault="0094273C" w:rsidP="004D673E">
      <w:pPr>
        <w:ind w:firstLine="567"/>
      </w:pPr>
      <w:r w:rsidRPr="0094273C">
        <w:t xml:space="preserve">Celem środowiskowym JCWPd jest osiągnięcie dobrego stanu, poprzez uzyskanie co najmniej dobrego stanu ilościowego oraz chemicznego danej części wód, a dla wód podziemnych będących w co najmniej dobrym stanie ilościowym i jakościowym (chemicznym) – utrzymanie tego stanu. Ocena stanu jednolitych części wód podziemnych zawarta w planach gospodarowania wodami na </w:t>
      </w:r>
      <w:r w:rsidRPr="0094273C">
        <w:lastRenderedPageBreak/>
        <w:t xml:space="preserve">obszarze dorzecza Wisły i Dniestru wykazała, że jakość wód zarówno pod względem ilościowym jak i chemicznym jest dobra i wody te nie są zagrożone ryzykiem nieosiągnięcia celów środowiskowych. </w:t>
      </w:r>
    </w:p>
    <w:p w:rsidR="0094273C" w:rsidRPr="0094273C" w:rsidRDefault="0094273C" w:rsidP="004D673E">
      <w:pPr>
        <w:ind w:firstLine="567"/>
      </w:pPr>
      <w:r w:rsidRPr="0094273C">
        <w:t xml:space="preserve">Bazując na stwierdzeniu, że wody podziemne województwa podkarpackiego nie mają statusu wód zagrożonych nieosiągnięciem dobrego stanu, badania stanu chemicznego prowadzone są co 3 lata w ramach monitoringu diagnostycznego. Ostatnie kompleksowe badania wykonano w 2010 r. W 2012 r. natomiast zostały przeprowadzone badania w 40 punktach pomiarowych, których wyniki posłużą do opracowania w 2013 r. kompleksowej oceny stanu jednolitych części wód podziemnych. </w:t>
      </w:r>
    </w:p>
    <w:p w:rsidR="0094273C" w:rsidRPr="0094273C" w:rsidRDefault="0094273C" w:rsidP="004D673E">
      <w:pPr>
        <w:tabs>
          <w:tab w:val="left" w:pos="1134"/>
          <w:tab w:val="left" w:pos="7938"/>
        </w:tabs>
        <w:ind w:firstLine="567"/>
      </w:pPr>
      <w:r w:rsidRPr="0094273C">
        <w:t>Analiza wyników wykazała dobry stan chemiczny wód w 28 (70 %) badanych punktach, w pozostałych 12 (30 %) stwierdzono słaby stan chemiczny wód. Wskaźnikami wpływającymi</w:t>
      </w:r>
      <w:r w:rsidRPr="0094273C">
        <w:br/>
        <w:t xml:space="preserve">na obniżenie jakości były: odczyn, węgiel organiczny, żelazo, arsen, molibden, amon jonowy, azotany, chlorki bor, wodorowęglany. </w:t>
      </w:r>
    </w:p>
    <w:p w:rsidR="0094273C" w:rsidRPr="0094273C" w:rsidRDefault="0094273C" w:rsidP="004D673E">
      <w:pPr>
        <w:pStyle w:val="Nagwek4"/>
      </w:pPr>
      <w:bookmarkStart w:id="99" w:name="_Toc349130273"/>
      <w:bookmarkStart w:id="100" w:name="_Toc359241654"/>
      <w:bookmarkStart w:id="101" w:name="_Toc378314156"/>
      <w:bookmarkStart w:id="102" w:name="_Toc378314369"/>
      <w:bookmarkStart w:id="103" w:name="_Toc384300289"/>
      <w:bookmarkStart w:id="104" w:name="_Toc397925183"/>
      <w:bookmarkStart w:id="105" w:name="_Toc397925542"/>
      <w:r w:rsidRPr="0094273C">
        <w:t>Gleby</w:t>
      </w:r>
      <w:bookmarkEnd w:id="99"/>
      <w:bookmarkEnd w:id="100"/>
      <w:bookmarkEnd w:id="101"/>
      <w:bookmarkEnd w:id="102"/>
      <w:bookmarkEnd w:id="103"/>
      <w:bookmarkEnd w:id="104"/>
      <w:bookmarkEnd w:id="105"/>
    </w:p>
    <w:p w:rsidR="0094273C" w:rsidRPr="0094273C" w:rsidRDefault="0094273C" w:rsidP="004D673E">
      <w:pPr>
        <w:ind w:firstLine="567"/>
      </w:pPr>
      <w:r w:rsidRPr="0094273C">
        <w:t>W północnej części województwa dominują gleby mało urodzajne, bielice i gleby brunatne,</w:t>
      </w:r>
      <w:r w:rsidRPr="0094273C">
        <w:br/>
        <w:t xml:space="preserve">na południu gleby brunatne kwaśne, a na południowych i południowo-wschodnich krańcach występują gleby słabo wykształcone kwarcowo-krzemianowe skaliste. W obrębie pogórzy dominują gleby płowe odgórnie oglejone. Gleby brunatne kwaśne występują w pasie Rzeszów-Łańcut-Przeworsk, a w okolicy Przemyśla, Przeworska i Jarosławia wykształciły się czarnoziemy leśno-łąkowe i gleby brunatne właściwe wyługowane. Gleby te są najlepszymi w województwie. Na północnych, nizinnych terenach województwa występują głównie gleby rdzawe bielicowane. Przy granicy z województwem lubelskim występują bielice i gleby bielicowe. </w:t>
      </w:r>
    </w:p>
    <w:p w:rsidR="0094273C" w:rsidRPr="0094273C" w:rsidRDefault="0094273C" w:rsidP="004D673E">
      <w:pPr>
        <w:ind w:firstLine="567"/>
      </w:pPr>
      <w:r w:rsidRPr="0094273C">
        <w:t>Największą powierzchnię zajmują gleby średniej klasy (IV klasy bonitacyjnej) – 40 % ogólnej powierzchni gleb, gleby dobre i bardzo dobre (I-III klasy bonitacyjnej) stanowią 30 %, zaś gleby najniższych klas (V i VI klasy bonitacyjnej) – 27 %.</w:t>
      </w:r>
    </w:p>
    <w:p w:rsidR="0094273C" w:rsidRPr="0094273C" w:rsidRDefault="0094273C" w:rsidP="004D673E">
      <w:pPr>
        <w:ind w:firstLine="567"/>
      </w:pPr>
      <w:r w:rsidRPr="0094273C">
        <w:t xml:space="preserve">Większość gleb w województwie podkarpackim zaliczana jest do kompleksów żytnich z dużym udziałem kompleksu żytniego bardzo dobrego. </w:t>
      </w:r>
    </w:p>
    <w:p w:rsidR="0094273C" w:rsidRPr="0094273C" w:rsidRDefault="0094273C" w:rsidP="004D673E">
      <w:pPr>
        <w:ind w:firstLine="567"/>
      </w:pPr>
      <w:r w:rsidRPr="0094273C">
        <w:t xml:space="preserve">Stan gleb w województwie podkarpackim jest na ogół dobry, niemniej jednak znajdują się tu gleby zakwaszone, wymagające niemal natychmiastowego wapnowania (głównie w powiatach bieszczadzkim, brzozowskim, jasielskim, leskim, kolbuszowskim, krośnieńskim, mieleckim i strzyżowskim), oraz zanieczyszczone substancjami chemicznymi (w powiatach: bieszczadzkim, brzozowskim, jasielskim, leskim, krośnieńskim, sanockim i strzyżowskim. W powiatach: kolbuszowskim, leżajskim, lubaczowskim, przeworskim występują gleby mało zasobne w fosfor i potas. </w:t>
      </w:r>
    </w:p>
    <w:p w:rsidR="0094273C" w:rsidRPr="0094273C" w:rsidRDefault="0094273C" w:rsidP="004D673E">
      <w:pPr>
        <w:ind w:firstLine="567"/>
      </w:pPr>
      <w:r w:rsidRPr="0094273C">
        <w:t xml:space="preserve">Badania zawartości matali ciężkich w glebach (2011 r.) wykazały, że poziom zanieczyszczenia chemicznego gleb był niewielki i oscylował w granicach normy, tylko na terenie gminy Świlcza stwierdzono jeden przypadek przekroczenia wartości dopuszczalnych rtęci (Hg). </w:t>
      </w:r>
    </w:p>
    <w:p w:rsidR="0094273C" w:rsidRPr="0094273C" w:rsidRDefault="0094273C" w:rsidP="004D673E">
      <w:pPr>
        <w:ind w:firstLine="567"/>
      </w:pPr>
      <w:r w:rsidRPr="0094273C">
        <w:t>W województwie podkarpackim występuje głównie erozja wodna i wietrzna. Erozją wodną zagrożonych jest 36,3% gruntów rolnych i leśnych, a erozją wietrzną 12,5 % gleb województwa użytkowanych rolniczo.</w:t>
      </w:r>
    </w:p>
    <w:p w:rsidR="0094273C" w:rsidRPr="0094273C" w:rsidRDefault="0094273C" w:rsidP="004D673E">
      <w:pPr>
        <w:ind w:firstLine="567"/>
      </w:pPr>
      <w:r w:rsidRPr="0094273C">
        <w:lastRenderedPageBreak/>
        <w:t xml:space="preserve">Pilnej ochrony przed erozją wymagają tereny w powiatach: bieszczadzkim, brzozowskim, dębickim, jasielskim, krośnieńskim, przemyskim, ropczycko-sędziszowskim, rzeszowskim, sanockim i strzyżowskim. </w:t>
      </w:r>
    </w:p>
    <w:p w:rsidR="0094273C" w:rsidRPr="0094273C" w:rsidRDefault="0094273C" w:rsidP="004D673E">
      <w:pPr>
        <w:pStyle w:val="Nagwek4"/>
      </w:pPr>
      <w:bookmarkStart w:id="106" w:name="_Toc349130274"/>
      <w:bookmarkStart w:id="107" w:name="_Toc359241655"/>
      <w:bookmarkStart w:id="108" w:name="_Toc378314157"/>
      <w:bookmarkStart w:id="109" w:name="_Toc378314370"/>
      <w:bookmarkStart w:id="110" w:name="_Toc384300290"/>
      <w:bookmarkStart w:id="111" w:name="_Toc397925184"/>
      <w:bookmarkStart w:id="112" w:name="_Toc397925543"/>
      <w:r w:rsidRPr="0094273C">
        <w:t>Surowce mineralne</w:t>
      </w:r>
      <w:bookmarkEnd w:id="106"/>
      <w:bookmarkEnd w:id="107"/>
      <w:bookmarkEnd w:id="108"/>
      <w:bookmarkEnd w:id="109"/>
      <w:bookmarkEnd w:id="110"/>
      <w:bookmarkEnd w:id="111"/>
      <w:bookmarkEnd w:id="112"/>
    </w:p>
    <w:p w:rsidR="0094273C" w:rsidRPr="0094273C" w:rsidRDefault="0094273C" w:rsidP="004D673E">
      <w:pPr>
        <w:ind w:firstLine="567"/>
      </w:pPr>
      <w:r w:rsidRPr="0094273C">
        <w:t>Województwo podkarpackie należy do średnio zasobnych w kopaliny. Na terenie województwa znajduje się 1157 udokumentowanych złóż kopalin, o zróżnicowanej wielkości zasobów i zasięgu przestrzennym. Złoża kopalin są stosunkowo równomiernie rozmieszczone na obszarze województwa.</w:t>
      </w:r>
    </w:p>
    <w:p w:rsidR="0094273C" w:rsidRPr="0094273C" w:rsidRDefault="0094273C" w:rsidP="004D673E">
      <w:pPr>
        <w:ind w:firstLine="567"/>
      </w:pPr>
      <w:r w:rsidRPr="0094273C">
        <w:t xml:space="preserve">Złoża kopalin występujących na terenie województwa obejmują cztery zasadnicze grupy surowców, wydzielane w zależności od głównego przeznaczenia i możliwości zastosowania. Są to: </w:t>
      </w:r>
    </w:p>
    <w:p w:rsidR="0094273C" w:rsidRPr="0094273C" w:rsidRDefault="0094273C" w:rsidP="006E6138">
      <w:pPr>
        <w:numPr>
          <w:ilvl w:val="0"/>
          <w:numId w:val="87"/>
        </w:numPr>
        <w:spacing w:after="0"/>
        <w:ind w:left="714" w:hanging="357"/>
      </w:pPr>
      <w:r w:rsidRPr="0094273C">
        <w:rPr>
          <w:b/>
        </w:rPr>
        <w:t>surowce energetyczne</w:t>
      </w:r>
      <w:r w:rsidRPr="0094273C">
        <w:t xml:space="preserve"> – gaz ziemny i ropa naftowa,</w:t>
      </w:r>
    </w:p>
    <w:p w:rsidR="0094273C" w:rsidRPr="0094273C" w:rsidRDefault="0094273C" w:rsidP="006E6138">
      <w:pPr>
        <w:numPr>
          <w:ilvl w:val="0"/>
          <w:numId w:val="87"/>
        </w:numPr>
        <w:spacing w:after="0"/>
        <w:ind w:left="714" w:hanging="357"/>
      </w:pPr>
      <w:r w:rsidRPr="0094273C">
        <w:rPr>
          <w:b/>
        </w:rPr>
        <w:t>surowce chemiczne</w:t>
      </w:r>
      <w:r w:rsidRPr="0094273C">
        <w:t xml:space="preserve"> – siarka rodzima oraz diatomity, </w:t>
      </w:r>
    </w:p>
    <w:p w:rsidR="0094273C" w:rsidRPr="0094273C" w:rsidRDefault="0094273C" w:rsidP="006E6138">
      <w:pPr>
        <w:numPr>
          <w:ilvl w:val="0"/>
          <w:numId w:val="87"/>
        </w:numPr>
        <w:spacing w:after="0"/>
        <w:ind w:left="714" w:hanging="357"/>
      </w:pPr>
      <w:r w:rsidRPr="0094273C">
        <w:rPr>
          <w:b/>
        </w:rPr>
        <w:t>surowce skalne i inne</w:t>
      </w:r>
      <w:r w:rsidRPr="0094273C">
        <w:t>: kamienie łamane i bloczne, wapienie i margle dla przemysłu wapienniczego i cementowego, piaski i żwiry, piaski szklarskie, surowce ilaste ceramiki budowlanej, gipsy, torfy, torfy lecznicze (borowiny),</w:t>
      </w:r>
    </w:p>
    <w:p w:rsidR="0094273C" w:rsidRPr="0094273C" w:rsidRDefault="0094273C" w:rsidP="006E6138">
      <w:pPr>
        <w:numPr>
          <w:ilvl w:val="0"/>
          <w:numId w:val="86"/>
        </w:numPr>
        <w:spacing w:after="0"/>
        <w:ind w:left="714" w:hanging="357"/>
        <w:rPr>
          <w:b/>
        </w:rPr>
      </w:pPr>
      <w:r w:rsidRPr="0094273C">
        <w:rPr>
          <w:b/>
        </w:rPr>
        <w:t>wody lecznicze, mineralne i termalne.</w:t>
      </w:r>
    </w:p>
    <w:p w:rsidR="0094273C" w:rsidRPr="0094273C" w:rsidRDefault="0094273C" w:rsidP="004D673E">
      <w:pPr>
        <w:pStyle w:val="Nagwek4"/>
      </w:pPr>
      <w:bookmarkStart w:id="113" w:name="_Toc378314158"/>
      <w:bookmarkStart w:id="114" w:name="_Toc378314371"/>
      <w:bookmarkStart w:id="115" w:name="_Toc384300291"/>
      <w:bookmarkStart w:id="116" w:name="_Toc397925185"/>
      <w:bookmarkStart w:id="117" w:name="_Toc397925544"/>
      <w:bookmarkStart w:id="118" w:name="_Toc349130276"/>
      <w:bookmarkStart w:id="119" w:name="_Toc359241657"/>
      <w:r w:rsidRPr="0094273C">
        <w:t>Powietrze</w:t>
      </w:r>
      <w:bookmarkEnd w:id="113"/>
      <w:bookmarkEnd w:id="114"/>
      <w:bookmarkEnd w:id="115"/>
      <w:bookmarkEnd w:id="116"/>
      <w:bookmarkEnd w:id="117"/>
    </w:p>
    <w:p w:rsidR="0094273C" w:rsidRPr="0094273C" w:rsidRDefault="0094273C" w:rsidP="004D673E">
      <w:pPr>
        <w:ind w:firstLine="567"/>
      </w:pPr>
      <w:r w:rsidRPr="0094273C">
        <w:t>Głównym źródłem zanieczyszczenia powietrza w województwie podkarpackim jest emisja pochodząca z ogrzewania obiektów. Gazy i pyły pochodzące z procesów energetycznego spalania paliw są emitowane przede wszystkim w sezonie zimowym.</w:t>
      </w:r>
    </w:p>
    <w:p w:rsidR="0094273C" w:rsidRPr="0094273C" w:rsidRDefault="0094273C" w:rsidP="004D673E">
      <w:pPr>
        <w:ind w:firstLine="567"/>
      </w:pPr>
      <w:r w:rsidRPr="0094273C">
        <w:t xml:space="preserve">W 2012 r. wyemitowano do atmosfery 1698 Mg zanieczyszczeń pyłowych oraz 3360,4 tys. Mg zanieczyszczeń gazowych. Pod względem emisji zanieczyszczeń pyłowych i gazowych województwo podkarpackie znalazło się na 13 miejscu w kraju. </w:t>
      </w:r>
    </w:p>
    <w:p w:rsidR="0094273C" w:rsidRPr="0094273C" w:rsidRDefault="0094273C" w:rsidP="004D673E">
      <w:pPr>
        <w:ind w:firstLine="567"/>
      </w:pPr>
      <w:r w:rsidRPr="0094273C">
        <w:rPr>
          <w:rFonts w:eastAsia="Calibri"/>
        </w:rPr>
        <w:t xml:space="preserve">Najwięcej zanieczyszczeń gazowych w 2012 r. wprowadzonych zostało do powietrza na terenie </w:t>
      </w:r>
      <w:r w:rsidRPr="0094273C">
        <w:t>powiatów: stalowowolskiego, mieleckiego oraz miasta Rzeszów, a zanieczyszczeń pyłowych</w:t>
      </w:r>
      <w:r w:rsidRPr="0094273C">
        <w:br/>
        <w:t>na terenie powiatów: mieleckiego, stalowowolskiego, ropczycko-sędziszowskiego, jasielskiego i miasta Rzeszowa.</w:t>
      </w:r>
    </w:p>
    <w:p w:rsidR="0094273C" w:rsidRPr="0094273C" w:rsidRDefault="0094273C" w:rsidP="004D673E">
      <w:pPr>
        <w:ind w:firstLine="567"/>
      </w:pPr>
      <w:r w:rsidRPr="0094273C">
        <w:t>Ocena stanu powietrza została przedstawiona w oparciu o dane zawarte w Raportach o stanie środowiska w województwie podkarpackim w latach 2011-2012 opracowanych przez Wojewódzki Inspektorat Ochrony Środowiska w Rzeszowie w układzie dwóch stref: strefa miasto Rzeszów i strefa podkarpacka. Strefa podkarpacka obejmuje całe województwo z wyłączeniem miasta Rzeszów.</w:t>
      </w:r>
    </w:p>
    <w:p w:rsidR="0094273C" w:rsidRPr="0094273C" w:rsidRDefault="0094273C" w:rsidP="004D673E">
      <w:pPr>
        <w:ind w:firstLine="567"/>
      </w:pPr>
      <w:r w:rsidRPr="0094273C">
        <w:t xml:space="preserve">Wyniki badań przeprowadzone w latach 2011-2012 w kryterium ochrony zdrowia wykazały, że: </w:t>
      </w:r>
    </w:p>
    <w:p w:rsidR="0094273C" w:rsidRPr="0094273C" w:rsidRDefault="0094273C" w:rsidP="006E6138">
      <w:pPr>
        <w:numPr>
          <w:ilvl w:val="0"/>
          <w:numId w:val="86"/>
        </w:numPr>
        <w:spacing w:after="0"/>
        <w:ind w:hanging="294"/>
      </w:pPr>
      <w:r w:rsidRPr="0094273C">
        <w:t>poziom zanieczyszczenia powietrza pyłem PM10 na wszystkich stanowiskach pomiarowych był wysoki i przekraczał ustalone, dopuszczalne stężenie średniodobowe. Poziom PM10 wzrastał w miesiącach zimowych, a w miesiącach letnich był znacząco niższy. Obie strefy (podkarpacka i miasto Rzeszów) zakwalifikowane zostały do klasy C,</w:t>
      </w:r>
    </w:p>
    <w:p w:rsidR="0094273C" w:rsidRPr="0094273C" w:rsidRDefault="0094273C" w:rsidP="006E6138">
      <w:pPr>
        <w:numPr>
          <w:ilvl w:val="0"/>
          <w:numId w:val="86"/>
        </w:numPr>
        <w:spacing w:after="0"/>
        <w:ind w:hanging="294"/>
      </w:pPr>
      <w:r w:rsidRPr="0094273C">
        <w:lastRenderedPageBreak/>
        <w:t>poziom zanieczyszczenia kadmem, ołowiem oraz niklem zawartym w pyle zawieszonym PM10 w latach 2011-2012 utrzymywał się na niskim poziomie i nie przekroczył dopuszczalnych norm. Cały obszar województwa podkarpackiego został zakwalifikowany do klasy A,</w:t>
      </w:r>
    </w:p>
    <w:p w:rsidR="0094273C" w:rsidRPr="0094273C" w:rsidRDefault="0094273C" w:rsidP="006E6138">
      <w:pPr>
        <w:numPr>
          <w:ilvl w:val="0"/>
          <w:numId w:val="86"/>
        </w:numPr>
        <w:spacing w:after="0"/>
        <w:ind w:hanging="294"/>
      </w:pPr>
      <w:r w:rsidRPr="0094273C">
        <w:t xml:space="preserve">poziom stężenia dopuszczalnego PM2.5 w powietrzu powiększonego o margines tolerancji był wysoki, w związku z tym strefę podkarpacką jak i strefę miasto Rzeszów, zakwalifikowano do klasy C. </w:t>
      </w:r>
    </w:p>
    <w:p w:rsidR="0094273C" w:rsidRPr="0094273C" w:rsidRDefault="0094273C" w:rsidP="006E6138">
      <w:pPr>
        <w:numPr>
          <w:ilvl w:val="0"/>
          <w:numId w:val="86"/>
        </w:numPr>
        <w:spacing w:after="0"/>
        <w:ind w:hanging="294"/>
      </w:pPr>
      <w:r w:rsidRPr="0094273C">
        <w:t>stężenia benzo(a)pirenu przekroczyły wartość docelową we wszystkich punktach pomiarowych. Najwyższe średnioroczne stężenie benzo(a)pirenu odnotowano w Przemyślu. Strefa miasto Rzeszów i strefa podkarpacka zakwalifikowane zostały do klasy C.</w:t>
      </w:r>
    </w:p>
    <w:p w:rsidR="0094273C" w:rsidRPr="0094273C" w:rsidRDefault="0094273C" w:rsidP="004D673E">
      <w:pPr>
        <w:ind w:firstLine="567"/>
      </w:pPr>
      <w:bookmarkStart w:id="120" w:name="_Toc397925186"/>
      <w:r w:rsidRPr="0094273C">
        <w:t>Zaliczenie strefy do klasy C oznacza obowiązek przeprowadzenia działań naprawczych w ramach Programów Ochrony Powietrza.</w:t>
      </w:r>
      <w:bookmarkEnd w:id="120"/>
    </w:p>
    <w:p w:rsidR="0094273C" w:rsidRPr="0094273C" w:rsidRDefault="0094273C" w:rsidP="004D673E">
      <w:pPr>
        <w:pStyle w:val="Nagwek4"/>
      </w:pPr>
      <w:bookmarkStart w:id="121" w:name="_Toc378314159"/>
      <w:bookmarkStart w:id="122" w:name="_Toc378314372"/>
      <w:bookmarkStart w:id="123" w:name="_Toc384300292"/>
      <w:bookmarkStart w:id="124" w:name="_Toc397925187"/>
      <w:bookmarkStart w:id="125" w:name="_Toc397925545"/>
      <w:r w:rsidRPr="0094273C">
        <w:t>Klimat akustyczny</w:t>
      </w:r>
      <w:bookmarkEnd w:id="118"/>
      <w:bookmarkEnd w:id="119"/>
      <w:bookmarkEnd w:id="121"/>
      <w:bookmarkEnd w:id="122"/>
      <w:bookmarkEnd w:id="123"/>
      <w:bookmarkEnd w:id="124"/>
      <w:bookmarkEnd w:id="125"/>
    </w:p>
    <w:p w:rsidR="0094273C" w:rsidRPr="0094273C" w:rsidRDefault="0094273C" w:rsidP="004D673E">
      <w:pPr>
        <w:ind w:firstLine="567"/>
        <w:rPr>
          <w:rFonts w:eastAsia="Calibri"/>
        </w:rPr>
      </w:pPr>
      <w:r w:rsidRPr="0094273C">
        <w:rPr>
          <w:rFonts w:eastAsia="TimesNewRoman,Bold"/>
        </w:rPr>
        <w:t xml:space="preserve">Klimat akustyczny województwa podkarpackiego kształtowany jest głównie przez hałas komunikacyjny </w:t>
      </w:r>
      <w:r w:rsidRPr="0094273C">
        <w:t>(lotniczy, drogowy czy kolejowy) oraz hałas przemysłowy</w:t>
      </w:r>
      <w:r w:rsidRPr="0094273C">
        <w:rPr>
          <w:rFonts w:eastAsia="Calibri"/>
        </w:rPr>
        <w:t xml:space="preserve">. Największe zagrożenie hałasem komunikacyjnym występuje wzdłuż dróg o dużym natężeniu ruchu (drogi krajowe, wojewódzkie oraz na przejściach granicznych). </w:t>
      </w:r>
    </w:p>
    <w:p w:rsidR="0094273C" w:rsidRPr="0094273C" w:rsidRDefault="0094273C" w:rsidP="004D673E">
      <w:pPr>
        <w:ind w:firstLine="567"/>
        <w:rPr>
          <w:rFonts w:eastAsia="Calibri"/>
        </w:rPr>
      </w:pPr>
      <w:r w:rsidRPr="0094273C">
        <w:rPr>
          <w:rFonts w:eastAsia="Calibri"/>
        </w:rPr>
        <w:t>Niewielkie znaczenie, w skali województwa, ma hałas kolejowy (ze względu na ograniczenie częstotliwości przejeżdżania pociągów, ubogą sieć linii kolejowych).</w:t>
      </w:r>
    </w:p>
    <w:p w:rsidR="0094273C" w:rsidRPr="0094273C" w:rsidRDefault="0094273C" w:rsidP="004D673E">
      <w:pPr>
        <w:ind w:firstLine="567"/>
        <w:rPr>
          <w:rFonts w:eastAsia="Calibri"/>
        </w:rPr>
      </w:pPr>
      <w:r w:rsidRPr="0094273C">
        <w:rPr>
          <w:rFonts w:eastAsia="Calibri"/>
        </w:rPr>
        <w:t>Hałas lotniczy ma charakter lokalny, a jego uciążliwość związana jest z pojedynczymi przelotami samolotów (międzynarodowe lotnisko Rzeszów-Jasionka).</w:t>
      </w:r>
    </w:p>
    <w:p w:rsidR="0094273C" w:rsidRPr="0094273C" w:rsidRDefault="0094273C" w:rsidP="004D673E">
      <w:pPr>
        <w:ind w:firstLine="567"/>
        <w:rPr>
          <w:rFonts w:eastAsia="Calibri"/>
        </w:rPr>
      </w:pPr>
      <w:r w:rsidRPr="0094273C">
        <w:rPr>
          <w:rFonts w:eastAsia="Calibri"/>
        </w:rPr>
        <w:t xml:space="preserve">Dostępność do nowoczesnych technologii produkcji sprawia, że zasięg emisji hałasu przemysłowego staje się coraz mniejszy. </w:t>
      </w:r>
    </w:p>
    <w:p w:rsidR="0094273C" w:rsidRPr="0094273C" w:rsidRDefault="0094273C" w:rsidP="004D673E">
      <w:pPr>
        <w:ind w:firstLine="567"/>
      </w:pPr>
      <w:r w:rsidRPr="0094273C">
        <w:t>Najwyższe poziomy hałasu komunikacyjnego notowane są w sąsiedztwie dróg o znaczeniu transeuropejskim i krajowym: trasa E-40 (Europa Zachodnia-Ukraina), trasa E-371 (prowadząca na Słowację), droga krajowa Nr 19 i Nr 28, drogi o znaczeniu regionalnym oraz lokalnym, magistrala kolejowa Nr E30/C-E30, a także lotnisko Rzeszów-Jasionka.</w:t>
      </w:r>
    </w:p>
    <w:p w:rsidR="0094273C" w:rsidRPr="0094273C" w:rsidRDefault="0094273C" w:rsidP="004D673E">
      <w:pPr>
        <w:ind w:firstLine="567"/>
      </w:pPr>
      <w:r w:rsidRPr="0094273C">
        <w:t xml:space="preserve">Jak wynika z badań WIOŚ w Rzeszowie przeprowadzonych w ramach programu monitoringu hałasu w trzyletnim cyklu pomiarowym na terenie miast: Nisko, Łańcut, Ustrzyki Dolne, Sanok, Stalowa Wola i Ropczyce, w każdym z wytypowanych punktów pomiarowych przekroczone zostały dopuszczalne standardy akustyczne w stosunku do funkcji spełnianej przez teren. </w:t>
      </w:r>
    </w:p>
    <w:p w:rsidR="0094273C" w:rsidRPr="0094273C" w:rsidRDefault="0094273C" w:rsidP="004D673E">
      <w:pPr>
        <w:ind w:firstLine="567"/>
      </w:pPr>
      <w:r w:rsidRPr="0094273C">
        <w:t xml:space="preserve">Wykonywane w ostatnich latach pomiary hałasu przemysłowego wykazują spadek ilości przekroczeń dopuszczalnych norm, a notowane przekroczenia są coraz mniejsze. Pozytywne zmiany są wynikiem licznych inwestycji m.in. modernizacje linii technologicznych, stosowanie obudów dźwiękochłonnych. </w:t>
      </w:r>
    </w:p>
    <w:p w:rsidR="0094273C" w:rsidRPr="0094273C" w:rsidRDefault="0094273C" w:rsidP="004D673E">
      <w:pPr>
        <w:pStyle w:val="Nagwek4"/>
      </w:pPr>
      <w:bookmarkStart w:id="126" w:name="_Toc349130277"/>
      <w:bookmarkStart w:id="127" w:name="_Toc359241658"/>
      <w:bookmarkStart w:id="128" w:name="_Toc378314160"/>
      <w:bookmarkStart w:id="129" w:name="_Toc378314373"/>
      <w:bookmarkStart w:id="130" w:name="_Toc384300293"/>
      <w:bookmarkStart w:id="131" w:name="_Toc397925188"/>
      <w:bookmarkStart w:id="132" w:name="_Toc397925546"/>
      <w:r w:rsidRPr="0094273C">
        <w:t>Promieniowanie elektromagnetyczne</w:t>
      </w:r>
      <w:bookmarkEnd w:id="126"/>
      <w:bookmarkEnd w:id="127"/>
      <w:bookmarkEnd w:id="128"/>
      <w:bookmarkEnd w:id="129"/>
      <w:bookmarkEnd w:id="130"/>
      <w:bookmarkEnd w:id="131"/>
      <w:bookmarkEnd w:id="132"/>
    </w:p>
    <w:p w:rsidR="0094273C" w:rsidRPr="0094273C" w:rsidRDefault="0094273C" w:rsidP="004D673E">
      <w:pPr>
        <w:ind w:firstLine="567"/>
      </w:pPr>
      <w:r w:rsidRPr="0094273C">
        <w:t xml:space="preserve">Na terenie województwa podkarpackiego program badań poziomów pól elektromagnetycznych realizowany jest w trzyletnim cyklu pomiarowym. Badania prowadzone są </w:t>
      </w:r>
      <w:r w:rsidRPr="0094273C">
        <w:lastRenderedPageBreak/>
        <w:t xml:space="preserve">w miejscach dostępnych dla ludzi, tj.: w centralnych dzielnicach lub osiedlach miast o liczbie mieszkańców przekraczającej 50 tys. oraz w pozostałych miastach i na terenach wiejskich. </w:t>
      </w:r>
    </w:p>
    <w:p w:rsidR="0094273C" w:rsidRPr="0094273C" w:rsidRDefault="0094273C" w:rsidP="004D673E">
      <w:pPr>
        <w:ind w:firstLine="567"/>
      </w:pPr>
      <w:r w:rsidRPr="0094273C">
        <w:t>Z badań przeprowadzonych w latach 2011-2012 wynika, że poziomy promieniowania elektromagnetycznego w środowisku na obszarze województwa są bardzo niskie, a średni poziom promieniowania elektromagnetycznego nie przekraczał 4 % wartości dopuszczalnej. Najwyższe średnie poziomy pól elektromagnetycznych odnotowywane były w dużych aglomeracjach (m.in. Rzeszów, Krosno), gdzie wiele źródeł promieniowania jest jednocześnie aktywnych.</w:t>
      </w:r>
    </w:p>
    <w:p w:rsidR="0094273C" w:rsidRPr="0094273C" w:rsidRDefault="0094273C" w:rsidP="004D673E">
      <w:pPr>
        <w:pStyle w:val="Nagwek4"/>
      </w:pPr>
      <w:bookmarkStart w:id="133" w:name="_Toc349130278"/>
      <w:bookmarkStart w:id="134" w:name="_Toc359241659"/>
      <w:bookmarkStart w:id="135" w:name="_Toc378314161"/>
      <w:bookmarkStart w:id="136" w:name="_Toc378314374"/>
      <w:bookmarkStart w:id="137" w:name="_Toc384300294"/>
      <w:bookmarkStart w:id="138" w:name="_Toc397925189"/>
      <w:bookmarkStart w:id="139" w:name="_Toc397925547"/>
      <w:r w:rsidRPr="0094273C">
        <w:t>Dane przyrodnicze</w:t>
      </w:r>
      <w:bookmarkEnd w:id="133"/>
      <w:bookmarkEnd w:id="134"/>
      <w:bookmarkEnd w:id="135"/>
      <w:bookmarkEnd w:id="136"/>
      <w:bookmarkEnd w:id="137"/>
      <w:bookmarkEnd w:id="138"/>
      <w:bookmarkEnd w:id="139"/>
    </w:p>
    <w:p w:rsidR="0094273C" w:rsidRPr="0094273C" w:rsidRDefault="0094273C" w:rsidP="004D673E">
      <w:pPr>
        <w:ind w:firstLine="567"/>
      </w:pPr>
      <w:r w:rsidRPr="0094273C">
        <w:t xml:space="preserve">Województwo podkarpackie charakteryzuje się znacznym zróżnicowaniem siedlisk przyrodniczych. Występują tu gatunki roślin rzadkich i chronionych (około 200 gatunków roślin chronionych prawem polskim). Stwierdzono występowanie co najmniej 60 gatunków roślin ujętych w Polskiej Czerwonej Księdze Roślin, z czego 12 gatunków mających naturalne stanowiska. </w:t>
      </w:r>
    </w:p>
    <w:p w:rsidR="0094273C" w:rsidRPr="0094273C" w:rsidRDefault="0094273C" w:rsidP="004D673E">
      <w:pPr>
        <w:ind w:firstLine="567"/>
      </w:pPr>
      <w:r w:rsidRPr="0094273C">
        <w:t xml:space="preserve">Bogactwo przyrodnicze województwa to także bardzo zróżnicowana gatunkowo fauna. Największą różnorodnością gatunków charakteryzują się Bieszczady, Beskid Niski oraz rejony pogórzy. Stwierdzono tam obecność gatunków puszczańskich i drapieżników. Najcenniejsze z nich to m.in.: żubr </w:t>
      </w:r>
      <w:r w:rsidRPr="0094273C">
        <w:rPr>
          <w:i/>
        </w:rPr>
        <w:t>(Bison bonasus)</w:t>
      </w:r>
      <w:r w:rsidRPr="0094273C">
        <w:t xml:space="preserve">, niedźwiedź brunatny </w:t>
      </w:r>
      <w:r w:rsidRPr="0094273C">
        <w:rPr>
          <w:i/>
        </w:rPr>
        <w:t>(Ursus arctos)</w:t>
      </w:r>
      <w:r w:rsidRPr="0094273C">
        <w:t xml:space="preserve">, wilk </w:t>
      </w:r>
      <w:r w:rsidRPr="0094273C">
        <w:rPr>
          <w:i/>
        </w:rPr>
        <w:t>(Canis lapus),</w:t>
      </w:r>
      <w:r w:rsidRPr="0094273C">
        <w:t xml:space="preserve"> ryś </w:t>
      </w:r>
      <w:r w:rsidRPr="0094273C">
        <w:rPr>
          <w:i/>
        </w:rPr>
        <w:t>(Felis lynx)</w:t>
      </w:r>
      <w:r w:rsidRPr="0094273C">
        <w:t>. W obrębie województwa rozmnaża się co najmniej 57 gatunków kręgowców, które ujęte są w Polskiej Czerwonej Księdze Zwierząt. Najliczniej występującymi populacjami bezkręgowców są: niepylak mnemozyna</w:t>
      </w:r>
      <w:r w:rsidRPr="0094273C">
        <w:rPr>
          <w:shd w:val="clear" w:color="auto" w:fill="FFFFFF"/>
        </w:rPr>
        <w:t xml:space="preserve"> (</w:t>
      </w:r>
      <w:r w:rsidRPr="0094273C">
        <w:rPr>
          <w:i/>
          <w:iCs/>
          <w:shd w:val="clear" w:color="auto" w:fill="FFFFFF"/>
        </w:rPr>
        <w:t>Parnassius mnemosyne</w:t>
      </w:r>
      <w:r w:rsidRPr="0094273C">
        <w:rPr>
          <w:shd w:val="clear" w:color="auto" w:fill="FFFFFF"/>
        </w:rPr>
        <w:t>)</w:t>
      </w:r>
      <w:r w:rsidRPr="0094273C">
        <w:t>, nadobnica alpejska</w:t>
      </w:r>
      <w:r w:rsidRPr="0094273C">
        <w:rPr>
          <w:shd w:val="clear" w:color="auto" w:fill="FFFFFF"/>
        </w:rPr>
        <w:t xml:space="preserve"> (</w:t>
      </w:r>
      <w:r w:rsidRPr="0094273C">
        <w:rPr>
          <w:i/>
          <w:iCs/>
          <w:shd w:val="clear" w:color="auto" w:fill="FFFFFF"/>
        </w:rPr>
        <w:t>Rosalia alpina</w:t>
      </w:r>
      <w:r w:rsidRPr="0094273C">
        <w:rPr>
          <w:shd w:val="clear" w:color="auto" w:fill="FFFFFF"/>
        </w:rPr>
        <w:t>)</w:t>
      </w:r>
      <w:r w:rsidRPr="0094273C">
        <w:t>, modliszka zwyczajna</w:t>
      </w:r>
      <w:r w:rsidRPr="0094273C">
        <w:rPr>
          <w:shd w:val="clear" w:color="auto" w:fill="FFFFFF"/>
        </w:rPr>
        <w:t xml:space="preserve"> (</w:t>
      </w:r>
      <w:r w:rsidRPr="0094273C">
        <w:rPr>
          <w:i/>
          <w:iCs/>
          <w:shd w:val="clear" w:color="auto" w:fill="FFFFFF"/>
        </w:rPr>
        <w:t>Mantis religiosa</w:t>
      </w:r>
      <w:r w:rsidRPr="0094273C">
        <w:rPr>
          <w:shd w:val="clear" w:color="auto" w:fill="FFFFFF"/>
        </w:rPr>
        <w:t>)</w:t>
      </w:r>
      <w:r w:rsidRPr="0094273C">
        <w:t xml:space="preserve">. </w:t>
      </w:r>
    </w:p>
    <w:p w:rsidR="0094273C" w:rsidRPr="0094273C" w:rsidRDefault="0094273C" w:rsidP="004D673E">
      <w:pPr>
        <w:ind w:firstLine="567"/>
        <w:rPr>
          <w:i/>
        </w:rPr>
      </w:pPr>
      <w:r w:rsidRPr="0094273C">
        <w:t>Bardzo cennymi, chronionymi gatunkami gadów i płazów, są m.in.: wąż eskulapa</w:t>
      </w:r>
      <w:r w:rsidRPr="0094273C">
        <w:rPr>
          <w:shd w:val="clear" w:color="auto" w:fill="FFFFFF"/>
        </w:rPr>
        <w:t xml:space="preserve"> (</w:t>
      </w:r>
      <w:r w:rsidRPr="0094273C">
        <w:rPr>
          <w:i/>
          <w:iCs/>
          <w:shd w:val="clear" w:color="auto" w:fill="FFFFFF"/>
        </w:rPr>
        <w:t>Zamenis longissimus)</w:t>
      </w:r>
      <w:r w:rsidRPr="0094273C">
        <w:t xml:space="preserve">, gniewosz plamisty </w:t>
      </w:r>
      <w:r w:rsidRPr="0094273C">
        <w:rPr>
          <w:shd w:val="clear" w:color="auto" w:fill="FFFFFF"/>
        </w:rPr>
        <w:t>(</w:t>
      </w:r>
      <w:r w:rsidRPr="0094273C">
        <w:rPr>
          <w:i/>
          <w:iCs/>
          <w:shd w:val="clear" w:color="auto" w:fill="FFFFFF"/>
        </w:rPr>
        <w:t>Coronella austriaca</w:t>
      </w:r>
      <w:r w:rsidRPr="0094273C">
        <w:rPr>
          <w:shd w:val="clear" w:color="auto" w:fill="FFFFFF"/>
        </w:rPr>
        <w:t>)</w:t>
      </w:r>
      <w:r w:rsidRPr="0094273C">
        <w:t>, salamandra plamista</w:t>
      </w:r>
      <w:r w:rsidRPr="0094273C">
        <w:rPr>
          <w:shd w:val="clear" w:color="auto" w:fill="FFFFFF"/>
        </w:rPr>
        <w:t xml:space="preserve"> (</w:t>
      </w:r>
      <w:r w:rsidRPr="0094273C">
        <w:rPr>
          <w:i/>
          <w:iCs/>
          <w:shd w:val="clear" w:color="auto" w:fill="FFFFFF"/>
        </w:rPr>
        <w:t>Salamandra salamandra</w:t>
      </w:r>
      <w:r w:rsidRPr="0094273C">
        <w:rPr>
          <w:shd w:val="clear" w:color="auto" w:fill="FFFFFF"/>
        </w:rPr>
        <w:t>)</w:t>
      </w:r>
      <w:r w:rsidRPr="0094273C">
        <w:t>, żaba dalmatyńska</w:t>
      </w:r>
      <w:r w:rsidRPr="0094273C">
        <w:rPr>
          <w:shd w:val="clear" w:color="auto" w:fill="FFFFFF"/>
        </w:rPr>
        <w:t xml:space="preserve"> </w:t>
      </w:r>
      <w:r w:rsidRPr="0094273C">
        <w:rPr>
          <w:rStyle w:val="apple-converted-space"/>
          <w:shd w:val="clear" w:color="auto" w:fill="FFFFFF"/>
        </w:rPr>
        <w:t> </w:t>
      </w:r>
      <w:r w:rsidRPr="0094273C">
        <w:rPr>
          <w:shd w:val="clear" w:color="auto" w:fill="FFFFFF"/>
        </w:rPr>
        <w:t>(</w:t>
      </w:r>
      <w:r w:rsidRPr="0094273C">
        <w:rPr>
          <w:i/>
          <w:iCs/>
          <w:shd w:val="clear" w:color="auto" w:fill="FFFFFF"/>
        </w:rPr>
        <w:t>Rana dalmatina</w:t>
      </w:r>
      <w:r w:rsidRPr="0094273C">
        <w:rPr>
          <w:shd w:val="clear" w:color="auto" w:fill="FFFFFF"/>
        </w:rPr>
        <w:t>).</w:t>
      </w:r>
    </w:p>
    <w:p w:rsidR="0094273C" w:rsidRPr="0094273C" w:rsidRDefault="0094273C" w:rsidP="004D673E">
      <w:pPr>
        <w:ind w:firstLine="567"/>
      </w:pPr>
      <w:r w:rsidRPr="0094273C">
        <w:t>Na terenie województwa występuje kilkanaście schronień, zimowisk nietoperzy liczących po kilkadziesiąt sztuk.</w:t>
      </w:r>
    </w:p>
    <w:p w:rsidR="0094273C" w:rsidRPr="0094273C" w:rsidRDefault="0094273C" w:rsidP="004D673E">
      <w:pPr>
        <w:ind w:firstLine="567"/>
      </w:pPr>
      <w:r w:rsidRPr="0094273C">
        <w:t xml:space="preserve">Najbardziej cenne pod względem przyrodniczym tereny zostały objęte różnymi formami ochrony przyrody (ponad 44 % pow. województwa). Większość najcenniejszych i najlepiej zachowanych zbiorowisk roślinnych i stanowisk roślin chronionych znalazła się w obrębie parków narodowych oraz rezerwatów przyrody. </w:t>
      </w:r>
    </w:p>
    <w:p w:rsidR="0094273C" w:rsidRPr="0094273C" w:rsidRDefault="0094273C" w:rsidP="004D673E">
      <w:pPr>
        <w:ind w:firstLine="567"/>
      </w:pPr>
      <w:r w:rsidRPr="0094273C">
        <w:t>W ramach Europejskiej Sieci Ekologicznej Natura 2000 w obrębie województwa wyznaczono 8 Obszarów Specjalnej Ochrony Ptaków i projektuje się wyznaczenie 55 Specjalnych Obszarów Ochrony Siedlisk ważnych dla Wspólnoty.</w:t>
      </w:r>
    </w:p>
    <w:p w:rsidR="0094273C" w:rsidRPr="0094273C" w:rsidRDefault="0094273C" w:rsidP="004D673E">
      <w:pPr>
        <w:rPr>
          <w:b/>
        </w:rPr>
      </w:pPr>
      <w:r w:rsidRPr="0094273C">
        <w:rPr>
          <w:b/>
        </w:rPr>
        <w:t>W obrębie obszarów Natura 2000 chronione są:</w:t>
      </w:r>
    </w:p>
    <w:p w:rsidR="0094273C" w:rsidRPr="0094273C" w:rsidRDefault="0094273C" w:rsidP="006E6138">
      <w:pPr>
        <w:numPr>
          <w:ilvl w:val="0"/>
          <w:numId w:val="111"/>
        </w:numPr>
        <w:spacing w:after="0"/>
        <w:ind w:right="-108" w:hanging="294"/>
        <w:rPr>
          <w:rFonts w:eastAsia="FuturaPL-Bold"/>
          <w:i/>
          <w:snapToGrid w:val="0"/>
        </w:rPr>
      </w:pPr>
      <w:r w:rsidRPr="0094273C">
        <w:rPr>
          <w:b/>
        </w:rPr>
        <w:t>siedliska leśne</w:t>
      </w:r>
      <w:r w:rsidRPr="0094273C">
        <w:t xml:space="preserve"> m.in.: 91D0 – Bory i lasy bagienne, 91E0 – Łęgi wierzbowe, topolowe, olszowe i jesionowe </w:t>
      </w:r>
      <w:r w:rsidRPr="0094273C">
        <w:rPr>
          <w:i/>
        </w:rPr>
        <w:t>(Salicetum albae, Populetumalbae, Alnenion glutinoso- incanae</w:t>
      </w:r>
      <w:r w:rsidRPr="0094273C">
        <w:t xml:space="preserve">, olsy źródliskowe), 91F0 – Łęgowe lasy dębowo- wiązowo- jesionowe </w:t>
      </w:r>
      <w:r w:rsidRPr="0094273C">
        <w:rPr>
          <w:i/>
        </w:rPr>
        <w:t xml:space="preserve">(Ficario Ulmetum), </w:t>
      </w:r>
      <w:r w:rsidRPr="0094273C">
        <w:t xml:space="preserve">91P0 – Jodłowy bór świętokrzyski </w:t>
      </w:r>
      <w:r w:rsidRPr="0094273C">
        <w:rPr>
          <w:i/>
        </w:rPr>
        <w:t xml:space="preserve">(Abietetum polonicom), </w:t>
      </w:r>
      <w:r w:rsidRPr="0094273C">
        <w:t xml:space="preserve">9110 – Kwaśne buczyny </w:t>
      </w:r>
      <w:r w:rsidRPr="0094273C">
        <w:rPr>
          <w:rFonts w:eastAsia="FuturaPL-Book"/>
          <w:i/>
          <w:snapToGrid w:val="0"/>
        </w:rPr>
        <w:t>(</w:t>
      </w:r>
      <w:r w:rsidRPr="0094273C">
        <w:rPr>
          <w:rFonts w:eastAsia="FuturaPL-Bold"/>
          <w:i/>
          <w:snapToGrid w:val="0"/>
        </w:rPr>
        <w:t>Luzulo – Fagetum</w:t>
      </w:r>
      <w:r w:rsidRPr="0094273C">
        <w:rPr>
          <w:rFonts w:eastAsia="FuturaPL-Book"/>
          <w:i/>
          <w:snapToGrid w:val="0"/>
        </w:rPr>
        <w:t>)</w:t>
      </w:r>
      <w:r w:rsidRPr="0094273C">
        <w:rPr>
          <w:rFonts w:eastAsia="FuturaPL-Bold"/>
          <w:i/>
          <w:snapToGrid w:val="0"/>
        </w:rPr>
        <w:t>,</w:t>
      </w:r>
    </w:p>
    <w:p w:rsidR="0094273C" w:rsidRPr="0094273C" w:rsidRDefault="0094273C" w:rsidP="006E6138">
      <w:pPr>
        <w:numPr>
          <w:ilvl w:val="0"/>
          <w:numId w:val="111"/>
        </w:numPr>
        <w:spacing w:after="0"/>
        <w:ind w:right="-108" w:hanging="294"/>
        <w:rPr>
          <w:rFonts w:eastAsia="FuturaPL-Bold"/>
          <w:i/>
          <w:snapToGrid w:val="0"/>
        </w:rPr>
      </w:pPr>
      <w:r w:rsidRPr="0094273C">
        <w:rPr>
          <w:b/>
        </w:rPr>
        <w:lastRenderedPageBreak/>
        <w:t>murawy, łąki, ziołorośla, wrzosowiska, zarośla</w:t>
      </w:r>
      <w:r w:rsidRPr="0094273C">
        <w:t xml:space="preserve"> m.in.: 6120 Ciepłolubne śródlądowe murawy napiaskowe </w:t>
      </w:r>
      <w:r w:rsidRPr="0094273C">
        <w:rPr>
          <w:i/>
        </w:rPr>
        <w:t>(Koelerion glaucae),</w:t>
      </w:r>
      <w:r w:rsidRPr="0094273C">
        <w:t xml:space="preserve"> 6210 Murawy kserotermiczne </w:t>
      </w:r>
      <w:r w:rsidRPr="0094273C">
        <w:rPr>
          <w:i/>
        </w:rPr>
        <w:t xml:space="preserve">(Festuco-Brometea), </w:t>
      </w:r>
      <w:r w:rsidRPr="0094273C">
        <w:t>6230 Bogate florystycznie górskie i niżowe murawy bliźniczkowe (</w:t>
      </w:r>
      <w:r w:rsidRPr="0094273C">
        <w:rPr>
          <w:i/>
        </w:rPr>
        <w:t>Nardion</w:t>
      </w:r>
      <w:r w:rsidRPr="0094273C">
        <w:t xml:space="preserve"> – płaty bogate florystycznie), 6510 Niżowe i górskie świeże łąki użytkowane ekstensywnie </w:t>
      </w:r>
      <w:r w:rsidRPr="0094273C">
        <w:rPr>
          <w:i/>
        </w:rPr>
        <w:t xml:space="preserve">(Arrhenatherion elatioris), </w:t>
      </w:r>
      <w:r w:rsidRPr="0094273C">
        <w:t xml:space="preserve">6430 Ziołorośla górskie </w:t>
      </w:r>
      <w:r w:rsidRPr="0094273C">
        <w:rPr>
          <w:i/>
        </w:rPr>
        <w:t>(Adenostylion alliariae)</w:t>
      </w:r>
      <w:r w:rsidRPr="0094273C">
        <w:t xml:space="preserve"> i ziołorośla nadrzeczne </w:t>
      </w:r>
      <w:r w:rsidRPr="0094273C">
        <w:rPr>
          <w:i/>
        </w:rPr>
        <w:t>(Convolvuletalia sepium),</w:t>
      </w:r>
    </w:p>
    <w:p w:rsidR="0094273C" w:rsidRPr="0094273C" w:rsidRDefault="0094273C" w:rsidP="006E6138">
      <w:pPr>
        <w:numPr>
          <w:ilvl w:val="0"/>
          <w:numId w:val="111"/>
        </w:numPr>
        <w:spacing w:after="0"/>
        <w:ind w:right="-108" w:hanging="294"/>
        <w:rPr>
          <w:rFonts w:eastAsia="FuturaPL-Bold"/>
          <w:i/>
          <w:snapToGrid w:val="0"/>
        </w:rPr>
      </w:pPr>
      <w:r w:rsidRPr="0094273C">
        <w:rPr>
          <w:b/>
        </w:rPr>
        <w:t xml:space="preserve">wody słodkie i torfowiska </w:t>
      </w:r>
      <w:r w:rsidRPr="0094273C">
        <w:t>m.in.:</w:t>
      </w:r>
      <w:r w:rsidRPr="0094273C">
        <w:rPr>
          <w:b/>
        </w:rPr>
        <w:t xml:space="preserve"> </w:t>
      </w:r>
      <w:r w:rsidRPr="0094273C">
        <w:t xml:space="preserve">3220 Pionierska roślinność na kamieńcach górskich potoków, 3240 Zarośla wierzbowe na kamieńcach i żwirowiskach górskich potoków </w:t>
      </w:r>
      <w:r w:rsidRPr="0094273C">
        <w:rPr>
          <w:i/>
        </w:rPr>
        <w:t xml:space="preserve">(Salici-Myricarietum </w:t>
      </w:r>
      <w:r w:rsidRPr="0094273C">
        <w:t>– część z przewagą wierzb), 7110 Torfowiska wysokie z roślinnością torfotwórczą (żywe) – siedlisko priorytetowe, 7230 Górskie i nizinne torfowiska zasadowe o charakterze młak, turzycowisk i mechowisk,</w:t>
      </w:r>
    </w:p>
    <w:p w:rsidR="0094273C" w:rsidRPr="0094273C" w:rsidRDefault="0094273C" w:rsidP="006E6138">
      <w:pPr>
        <w:numPr>
          <w:ilvl w:val="0"/>
          <w:numId w:val="111"/>
        </w:numPr>
        <w:spacing w:after="0"/>
        <w:ind w:right="-108" w:hanging="294"/>
        <w:rPr>
          <w:rFonts w:eastAsia="FuturaPL-Bold"/>
          <w:i/>
          <w:snapToGrid w:val="0"/>
        </w:rPr>
      </w:pPr>
      <w:r w:rsidRPr="0094273C">
        <w:rPr>
          <w:b/>
        </w:rPr>
        <w:t xml:space="preserve">ściany, piargi, rumowiska skalne i jaskinie </w:t>
      </w:r>
      <w:r w:rsidRPr="0094273C">
        <w:t>m.in.:</w:t>
      </w:r>
      <w:r w:rsidRPr="0094273C">
        <w:rPr>
          <w:b/>
        </w:rPr>
        <w:t xml:space="preserve"> </w:t>
      </w:r>
      <w:r w:rsidRPr="0094273C">
        <w:t>8220 Ściany skalne i urwiska krzemianowe ze zbiorowiskami z </w:t>
      </w:r>
      <w:r w:rsidRPr="0094273C">
        <w:rPr>
          <w:i/>
        </w:rPr>
        <w:t>Androsacetalia vandellii</w:t>
      </w:r>
      <w:r w:rsidRPr="0094273C">
        <w:t>, 8310 Jaskinie niedostępne do zwiedzania</w:t>
      </w:r>
      <w:r w:rsidRPr="0094273C">
        <w:rPr>
          <w:rFonts w:eastAsia="FuturaPL-Bold"/>
          <w:i/>
          <w:snapToGrid w:val="0"/>
        </w:rPr>
        <w:t>,</w:t>
      </w:r>
    </w:p>
    <w:p w:rsidR="0094273C" w:rsidRPr="0094273C" w:rsidRDefault="0094273C" w:rsidP="006E6138">
      <w:pPr>
        <w:numPr>
          <w:ilvl w:val="0"/>
          <w:numId w:val="111"/>
        </w:numPr>
        <w:spacing w:after="0"/>
        <w:ind w:right="-108" w:hanging="294"/>
        <w:rPr>
          <w:rFonts w:eastAsia="FuturaPL-Bold"/>
          <w:i/>
          <w:snapToGrid w:val="0"/>
        </w:rPr>
      </w:pPr>
      <w:r w:rsidRPr="0094273C">
        <w:rPr>
          <w:b/>
        </w:rPr>
        <w:t xml:space="preserve">rośliny </w:t>
      </w:r>
      <w:r w:rsidRPr="0094273C">
        <w:t xml:space="preserve">m.in.: 4116 Tocja alpejska, karpacka </w:t>
      </w:r>
      <w:r w:rsidRPr="0094273C">
        <w:rPr>
          <w:i/>
        </w:rPr>
        <w:t>(</w:t>
      </w:r>
      <w:r w:rsidRPr="0094273C">
        <w:rPr>
          <w:bCs/>
          <w:i/>
          <w:iCs/>
        </w:rPr>
        <w:t xml:space="preserve">Tozzia alpina), </w:t>
      </w:r>
      <w:r w:rsidRPr="0094273C">
        <w:rPr>
          <w:rFonts w:eastAsia="FuturaPL-Bold"/>
          <w:bCs/>
        </w:rPr>
        <w:t>1617 Starodub łąkowy</w:t>
      </w:r>
      <w:r w:rsidRPr="0094273C">
        <w:rPr>
          <w:bCs/>
          <w:i/>
          <w:iCs/>
        </w:rPr>
        <w:t xml:space="preserve"> (Ostericum palustre), </w:t>
      </w:r>
      <w:r w:rsidRPr="0094273C">
        <w:t xml:space="preserve">1898 Ponikło kraińskie </w:t>
      </w:r>
      <w:r w:rsidRPr="0094273C">
        <w:rPr>
          <w:i/>
        </w:rPr>
        <w:t>(</w:t>
      </w:r>
      <w:r w:rsidRPr="0094273C">
        <w:rPr>
          <w:bCs/>
          <w:i/>
          <w:iCs/>
        </w:rPr>
        <w:t xml:space="preserve">Eleocharis carniolica), </w:t>
      </w:r>
      <w:r w:rsidRPr="0094273C">
        <w:t xml:space="preserve">4093 Różanecznik żółty (Azalia pontyjska) </w:t>
      </w:r>
      <w:r w:rsidRPr="0094273C">
        <w:rPr>
          <w:i/>
        </w:rPr>
        <w:t xml:space="preserve">(Rhododendron luteum), </w:t>
      </w:r>
    </w:p>
    <w:p w:rsidR="0094273C" w:rsidRPr="0094273C" w:rsidRDefault="0094273C" w:rsidP="006E6138">
      <w:pPr>
        <w:numPr>
          <w:ilvl w:val="0"/>
          <w:numId w:val="88"/>
        </w:numPr>
        <w:spacing w:after="0"/>
        <w:ind w:hanging="294"/>
      </w:pPr>
      <w:r w:rsidRPr="0094273C">
        <w:rPr>
          <w:b/>
        </w:rPr>
        <w:t>bezkręgowce</w:t>
      </w:r>
      <w:r w:rsidRPr="0094273C">
        <w:t xml:space="preserve"> m.in.</w:t>
      </w:r>
      <w:r w:rsidRPr="0094273C">
        <w:rPr>
          <w:b/>
        </w:rPr>
        <w:t xml:space="preserve">: </w:t>
      </w:r>
      <w:r w:rsidRPr="0094273C">
        <w:t xml:space="preserve">1032 skójka gruboskorupowa </w:t>
      </w:r>
      <w:r w:rsidRPr="0094273C">
        <w:rPr>
          <w:i/>
        </w:rPr>
        <w:t xml:space="preserve">(Unio crassus), </w:t>
      </w:r>
      <w:r w:rsidRPr="0094273C">
        <w:t xml:space="preserve">1083 jelonek rogacz </w:t>
      </w:r>
      <w:r w:rsidRPr="0094273C">
        <w:rPr>
          <w:i/>
        </w:rPr>
        <w:t xml:space="preserve">(Lucanus cervus), </w:t>
      </w:r>
      <w:r w:rsidRPr="0094273C">
        <w:t xml:space="preserve">1087 nadobnica alpejska </w:t>
      </w:r>
      <w:r w:rsidRPr="0094273C">
        <w:rPr>
          <w:i/>
        </w:rPr>
        <w:t>(Rosalia alpina),</w:t>
      </w:r>
      <w:r w:rsidRPr="0094273C">
        <w:t xml:space="preserve"> 1787</w:t>
      </w:r>
      <w:r w:rsidRPr="0094273C">
        <w:rPr>
          <w:i/>
        </w:rPr>
        <w:t xml:space="preserve"> </w:t>
      </w:r>
      <w:r w:rsidRPr="0094273C">
        <w:t xml:space="preserve">biegacz urozmaicony </w:t>
      </w:r>
      <w:r w:rsidRPr="0094273C">
        <w:rPr>
          <w:i/>
        </w:rPr>
        <w:t xml:space="preserve">(Carabus variolosus), </w:t>
      </w:r>
      <w:r w:rsidRPr="0094273C">
        <w:t xml:space="preserve">1060 czerwończyk nieparek </w:t>
      </w:r>
      <w:r w:rsidRPr="0094273C">
        <w:rPr>
          <w:i/>
        </w:rPr>
        <w:t xml:space="preserve">(Lycaena dispar), </w:t>
      </w:r>
    </w:p>
    <w:p w:rsidR="0094273C" w:rsidRPr="0094273C" w:rsidRDefault="0094273C" w:rsidP="006E6138">
      <w:pPr>
        <w:numPr>
          <w:ilvl w:val="0"/>
          <w:numId w:val="88"/>
        </w:numPr>
        <w:spacing w:after="0"/>
        <w:ind w:hanging="294"/>
      </w:pPr>
      <w:r w:rsidRPr="0094273C">
        <w:rPr>
          <w:b/>
        </w:rPr>
        <w:t>płazy i gady</w:t>
      </w:r>
      <w:r w:rsidRPr="0094273C">
        <w:t xml:space="preserve"> m.in.: 1166 traszka grzebieniasta </w:t>
      </w:r>
      <w:r w:rsidRPr="0094273C">
        <w:rPr>
          <w:i/>
        </w:rPr>
        <w:t xml:space="preserve">(Triturus cristatus), </w:t>
      </w:r>
      <w:r w:rsidRPr="0094273C">
        <w:t xml:space="preserve">1193 kumak górski </w:t>
      </w:r>
      <w:r w:rsidRPr="0094273C">
        <w:rPr>
          <w:i/>
        </w:rPr>
        <w:t xml:space="preserve">(Bombina variegata), </w:t>
      </w:r>
      <w:r w:rsidRPr="0094273C">
        <w:t xml:space="preserve">2001 traszka karpacka </w:t>
      </w:r>
      <w:r w:rsidRPr="0094273C">
        <w:rPr>
          <w:i/>
        </w:rPr>
        <w:t>(Triturus montandoni),</w:t>
      </w:r>
      <w:r w:rsidRPr="0094273C">
        <w:t xml:space="preserve"> </w:t>
      </w:r>
    </w:p>
    <w:p w:rsidR="0094273C" w:rsidRPr="0094273C" w:rsidRDefault="0094273C" w:rsidP="006E6138">
      <w:pPr>
        <w:numPr>
          <w:ilvl w:val="0"/>
          <w:numId w:val="88"/>
        </w:numPr>
        <w:spacing w:after="0"/>
        <w:ind w:hanging="294"/>
      </w:pPr>
      <w:r w:rsidRPr="0094273C">
        <w:rPr>
          <w:b/>
        </w:rPr>
        <w:t xml:space="preserve">ryby </w:t>
      </w:r>
      <w:r w:rsidRPr="0094273C">
        <w:t>m.in.</w:t>
      </w:r>
      <w:r w:rsidRPr="0094273C">
        <w:rPr>
          <w:b/>
        </w:rPr>
        <w:t>:</w:t>
      </w:r>
      <w:r w:rsidRPr="0094273C">
        <w:t xml:space="preserve"> 1101 jesiotr bałtycki </w:t>
      </w:r>
      <w:r w:rsidRPr="0094273C">
        <w:rPr>
          <w:i/>
        </w:rPr>
        <w:t xml:space="preserve">(Acipenser oxyrhynchus oxyrhynchus), </w:t>
      </w:r>
      <w:r w:rsidRPr="0094273C">
        <w:t xml:space="preserve">1106 łosoś </w:t>
      </w:r>
      <w:r w:rsidRPr="0094273C">
        <w:rPr>
          <w:i/>
        </w:rPr>
        <w:t xml:space="preserve">(Salmo salar), </w:t>
      </w:r>
      <w:r w:rsidRPr="0094273C">
        <w:t xml:space="preserve">2503 brzanka </w:t>
      </w:r>
      <w:r w:rsidRPr="0094273C">
        <w:rPr>
          <w:i/>
        </w:rPr>
        <w:t xml:space="preserve">(Barbus peloponnesius), </w:t>
      </w:r>
      <w:r w:rsidRPr="0094273C">
        <w:t xml:space="preserve">1163 głowacz białopłetwy </w:t>
      </w:r>
      <w:r w:rsidRPr="0094273C">
        <w:rPr>
          <w:i/>
        </w:rPr>
        <w:t xml:space="preserve">(Cottus gobio), </w:t>
      </w:r>
    </w:p>
    <w:p w:rsidR="0094273C" w:rsidRPr="0094273C" w:rsidRDefault="0094273C" w:rsidP="006E6138">
      <w:pPr>
        <w:numPr>
          <w:ilvl w:val="0"/>
          <w:numId w:val="88"/>
        </w:numPr>
        <w:spacing w:after="0"/>
        <w:ind w:hanging="294"/>
      </w:pPr>
      <w:r w:rsidRPr="0094273C">
        <w:rPr>
          <w:b/>
        </w:rPr>
        <w:t xml:space="preserve">ptaki </w:t>
      </w:r>
      <w:r w:rsidRPr="0094273C">
        <w:t xml:space="preserve">m.in.: A429 dzięcioł białoszyi </w:t>
      </w:r>
      <w:r w:rsidRPr="0094273C">
        <w:rPr>
          <w:i/>
        </w:rPr>
        <w:t xml:space="preserve">(Dendrocopos syriacus), </w:t>
      </w:r>
      <w:r w:rsidRPr="0094273C">
        <w:t xml:space="preserve">A215 puchacz </w:t>
      </w:r>
      <w:r w:rsidRPr="0094273C">
        <w:rPr>
          <w:i/>
        </w:rPr>
        <w:t xml:space="preserve">(Bubo bubo), </w:t>
      </w:r>
      <w:r w:rsidRPr="0094273C">
        <w:t xml:space="preserve">A220 puszczyk uralski </w:t>
      </w:r>
      <w:r w:rsidRPr="0094273C">
        <w:rPr>
          <w:i/>
        </w:rPr>
        <w:t xml:space="preserve">(Strix uralensis), </w:t>
      </w:r>
      <w:r w:rsidRPr="0094273C">
        <w:t xml:space="preserve">A127 żuraw </w:t>
      </w:r>
      <w:r w:rsidRPr="0094273C">
        <w:rPr>
          <w:i/>
        </w:rPr>
        <w:t xml:space="preserve">(Grus grus), </w:t>
      </w:r>
      <w:r w:rsidRPr="0094273C">
        <w:t xml:space="preserve">A091 orzeł przedni </w:t>
      </w:r>
      <w:r w:rsidRPr="0094273C">
        <w:rPr>
          <w:i/>
        </w:rPr>
        <w:t xml:space="preserve">(Aquila chrysaetos), </w:t>
      </w:r>
      <w:r w:rsidRPr="0094273C">
        <w:t xml:space="preserve">A075 bielik </w:t>
      </w:r>
      <w:r w:rsidRPr="0094273C">
        <w:rPr>
          <w:i/>
        </w:rPr>
        <w:t xml:space="preserve">(Haliaeetus albicilla), </w:t>
      </w:r>
      <w:r w:rsidRPr="0094273C">
        <w:t xml:space="preserve">A030 bocian czarny </w:t>
      </w:r>
      <w:r w:rsidRPr="0094273C">
        <w:rPr>
          <w:i/>
        </w:rPr>
        <w:t xml:space="preserve">(Ciconia nigra), </w:t>
      </w:r>
      <w:r w:rsidRPr="0094273C">
        <w:t xml:space="preserve">A031 bocian biały </w:t>
      </w:r>
      <w:r w:rsidRPr="0094273C">
        <w:rPr>
          <w:i/>
        </w:rPr>
        <w:t xml:space="preserve">(Ciconia ciconia), </w:t>
      </w:r>
      <w:r w:rsidRPr="0094273C">
        <w:t xml:space="preserve">A089 orlik krzykliwy </w:t>
      </w:r>
      <w:r w:rsidRPr="0094273C">
        <w:rPr>
          <w:i/>
        </w:rPr>
        <w:t xml:space="preserve">(Aquila pomarina), </w:t>
      </w:r>
      <w:r w:rsidRPr="0094273C">
        <w:t xml:space="preserve">A122 derkacz </w:t>
      </w:r>
      <w:r w:rsidRPr="0094273C">
        <w:rPr>
          <w:i/>
        </w:rPr>
        <w:t xml:space="preserve">(Crex crex), </w:t>
      </w:r>
    </w:p>
    <w:p w:rsidR="0094273C" w:rsidRPr="0094273C" w:rsidRDefault="0094273C" w:rsidP="006E6138">
      <w:pPr>
        <w:numPr>
          <w:ilvl w:val="0"/>
          <w:numId w:val="88"/>
        </w:numPr>
        <w:spacing w:after="0"/>
        <w:ind w:hanging="294"/>
      </w:pPr>
      <w:r w:rsidRPr="0094273C">
        <w:rPr>
          <w:b/>
        </w:rPr>
        <w:t xml:space="preserve">ssaki </w:t>
      </w:r>
      <w:r w:rsidRPr="0094273C">
        <w:t>m.in.</w:t>
      </w:r>
      <w:r w:rsidRPr="0094273C">
        <w:rPr>
          <w:b/>
        </w:rPr>
        <w:t>:</w:t>
      </w:r>
      <w:r w:rsidRPr="0094273C">
        <w:t xml:space="preserve"> 1303 podkowiec mały </w:t>
      </w:r>
      <w:r w:rsidRPr="0094273C">
        <w:rPr>
          <w:i/>
        </w:rPr>
        <w:t xml:space="preserve">(Rhinolophus hipposideros), </w:t>
      </w:r>
      <w:r w:rsidRPr="0094273C">
        <w:t xml:space="preserve">1321 nocek orzęsiony </w:t>
      </w:r>
      <w:r w:rsidRPr="0094273C">
        <w:rPr>
          <w:i/>
        </w:rPr>
        <w:t xml:space="preserve">(Myotis emarginatus), </w:t>
      </w:r>
      <w:r w:rsidRPr="0094273C">
        <w:t xml:space="preserve">1355 wydra </w:t>
      </w:r>
      <w:r w:rsidRPr="0094273C">
        <w:rPr>
          <w:i/>
        </w:rPr>
        <w:t>(Lutra Lutra),</w:t>
      </w:r>
      <w:r w:rsidRPr="0094273C">
        <w:t xml:space="preserve"> 1352 wilk </w:t>
      </w:r>
      <w:r w:rsidRPr="0094273C">
        <w:rPr>
          <w:i/>
        </w:rPr>
        <w:t xml:space="preserve">(Canis lapus), </w:t>
      </w:r>
      <w:r w:rsidRPr="0094273C">
        <w:t xml:space="preserve">1354 niedźwiedź brunatny </w:t>
      </w:r>
      <w:r w:rsidRPr="0094273C">
        <w:rPr>
          <w:i/>
        </w:rPr>
        <w:t xml:space="preserve">(Ursus arctos), </w:t>
      </w:r>
      <w:r w:rsidRPr="0094273C">
        <w:t xml:space="preserve">2647 żubr </w:t>
      </w:r>
      <w:r w:rsidRPr="0094273C">
        <w:rPr>
          <w:i/>
        </w:rPr>
        <w:t xml:space="preserve">(Bison bonasus). </w:t>
      </w:r>
    </w:p>
    <w:p w:rsidR="0094273C" w:rsidRPr="0094273C" w:rsidRDefault="0094273C" w:rsidP="004D673E">
      <w:pPr>
        <w:pStyle w:val="Bezodstpw"/>
        <w:spacing w:line="276" w:lineRule="auto"/>
        <w:ind w:firstLine="567"/>
        <w:jc w:val="both"/>
      </w:pPr>
      <w:r w:rsidRPr="0094273C">
        <w:t>Zagrożeniem dla zasobów przyrodniczych są gatunki obce i inwazyjne. Na terenie województwa podkarpackiego problemem jest występowanie barszczu Sosnowskiego (Heracleum sosnowskyi Manden). Występowanie barszczu Sosnowskiego w dużym nasileniu zostało stwierdzone w powiecie krośnieńskim w miejscowości Zawadka Rymanowska, w powiecie jasielskim w miejscowościach Krempna i Kotań, w powiecie bieszczadzkim w miejscowościach Trzcianiec i Krościenko oraz w powiecie sanockim w miejscowości Płonna. Należy zaznaczyć, że barszcz Sosnowskiego jest rośliną, która stanowi zagrożenie dla siedlisk przyrodniczych, roślin oraz dla zdrowia ludzi.</w:t>
      </w:r>
    </w:p>
    <w:p w:rsidR="0094273C" w:rsidRPr="0094273C" w:rsidRDefault="0094273C" w:rsidP="004D673E">
      <w:pPr>
        <w:pStyle w:val="Nagwek4"/>
      </w:pPr>
      <w:bookmarkStart w:id="140" w:name="_Toc349130279"/>
      <w:bookmarkStart w:id="141" w:name="_Toc359241660"/>
      <w:bookmarkStart w:id="142" w:name="_Toc378314162"/>
      <w:bookmarkStart w:id="143" w:name="_Toc378314378"/>
      <w:bookmarkStart w:id="144" w:name="_Toc384300298"/>
      <w:bookmarkStart w:id="145" w:name="_Toc397925190"/>
      <w:bookmarkStart w:id="146" w:name="_Toc397925548"/>
      <w:r w:rsidRPr="0094273C">
        <w:t>Krajobraz, zabytki i dobra kultury współczesnej</w:t>
      </w:r>
      <w:bookmarkEnd w:id="140"/>
      <w:bookmarkEnd w:id="141"/>
      <w:bookmarkEnd w:id="142"/>
      <w:bookmarkEnd w:id="143"/>
      <w:bookmarkEnd w:id="144"/>
      <w:bookmarkEnd w:id="145"/>
      <w:bookmarkEnd w:id="146"/>
    </w:p>
    <w:p w:rsidR="0094273C" w:rsidRPr="0094273C" w:rsidRDefault="0094273C" w:rsidP="004D673E">
      <w:pPr>
        <w:ind w:firstLine="567"/>
      </w:pPr>
      <w:r w:rsidRPr="0094273C">
        <w:t xml:space="preserve">Województwo podkarpackie odznacza się cennymi walorami środowiska naturalnego. Do szczególnych atrakcji naturalnych regionu należą wyróżniające się krajobrazy Bieszczadów wraz </w:t>
      </w:r>
      <w:r w:rsidRPr="0094273C">
        <w:lastRenderedPageBreak/>
        <w:t xml:space="preserve">z Jeziorem Solińskim, Beskid Niski oraz Roztocze. Atrakcyjność przyrodniczą podkreśla wysoka lesistość obszaru województwa, obejmująca ponad 37 % powierzchni, oraz występujące zasoby wód mineralnych, torfów leczniczych i specyficzne cechy mikroklimatu w funkcjonujących 4 uzdrowiskach, tj. Iwoniczu-Zdroju, Rymanowie Zdroju, Polańczyku i Horyńcu-Zdroju. </w:t>
      </w:r>
    </w:p>
    <w:p w:rsidR="0094273C" w:rsidRPr="0094273C" w:rsidRDefault="0094273C" w:rsidP="004D673E">
      <w:pPr>
        <w:ind w:firstLine="567"/>
      </w:pPr>
      <w:r w:rsidRPr="0094273C">
        <w:t xml:space="preserve">Według danych Podkarpackiego Wojewódzkiego Konserwatora Zabytków na terenie województwa znajduje się 3906 zabytków nieruchomych oraz 49 747 zabytków ruchomych. </w:t>
      </w:r>
    </w:p>
    <w:p w:rsidR="0094273C" w:rsidRPr="0094273C" w:rsidRDefault="0094273C" w:rsidP="004D673E">
      <w:pPr>
        <w:ind w:firstLine="567"/>
      </w:pPr>
      <w:r w:rsidRPr="0094273C">
        <w:t xml:space="preserve">Fenomenem na skalę kraju jest liczba zabytkowych kościołów i cerkwi drewnianych. Sześć z tych obiektów zostało wpisanych na Listę Światowego Dziedzictwa Kulturalnego i Naturalnego UNESCO, są to kościoły w Bliznem i Haczowie oraz cerkwie w Chotyńcu, Radrużu, Smolniku nad Sanem i Turzańsku. </w:t>
      </w:r>
    </w:p>
    <w:p w:rsidR="0094273C" w:rsidRPr="0094273C" w:rsidRDefault="0094273C" w:rsidP="004D673E">
      <w:pPr>
        <w:ind w:firstLine="567"/>
      </w:pPr>
      <w:r w:rsidRPr="0094273C">
        <w:t xml:space="preserve">Na terenie województwa znajdują się dwa zespoły zabytków uznanych przez Prezydenta RP za Pomniki Historii, są to: zespół klasztorny oo. Bernardynów w Leżajsku i zespół zamkowo-parkowy w Łańcucie. </w:t>
      </w:r>
    </w:p>
    <w:p w:rsidR="0094273C" w:rsidRPr="0094273C" w:rsidRDefault="0094273C" w:rsidP="004D673E">
      <w:pPr>
        <w:ind w:firstLine="567"/>
      </w:pPr>
      <w:r w:rsidRPr="0094273C">
        <w:t>W roku 2009 r., został utworzony Park Kulturowy Zespołu Staromiejskiego i Zespołu Klasztornego oo. Dominikanów w Jarosławiu.</w:t>
      </w:r>
    </w:p>
    <w:p w:rsidR="0094273C" w:rsidRPr="0094273C" w:rsidRDefault="0094273C" w:rsidP="004D673E">
      <w:pPr>
        <w:ind w:firstLine="567"/>
      </w:pPr>
      <w:r w:rsidRPr="0094273C">
        <w:t>Do zasobów materialnego dziedzictwa kulturowego województwa należą liczne historyczne układy urbanistyczne i ruralistyczne (m.in.: Łańcuta, Jarosławia, Krosna, Przemyśla, Przeworska, Rzeszowa czy Sanoka, przestrzenne założenia drewnianej zabudowy małomiasteczkowej w Pruchniku, Jaśliskach i Ulanowie oraz uzdrowiskowej w Rymanowie Zdroju i Iwoniczu-Zdroju), obiekty, zespoły i założenia rezydencjonalne (zamkowe, pałacowe) i dworskie, (m.in. w Łańcucie, Krasiczynie, Baranowie Sandomierskim, Narolu czy Dzikowie), architektura obronna (unikalny kompleks Twierdzy Przemyśl, jak również kompleks schronów kolejowych niemieckiego stanowiska dowodzenia z II Wojny Światowej w Stępinie-Cieszynie oraz Strzyżowie, a także zespół obiektów Przemyskiego Rejonu Umocnionego, tzw. „Linii Mołotowa”), architektura sakralna, użyteczności publicznej, mieszkalna, budownictwo przemysłowe (np. kopalnia ropy naftowej w Bóbrce – funkcjonuje tu Muzeum Przemysłu Naftowego im. I. Łukaszewicza), oraz zabytkowe założenia zieleni i cmentarze, a także mała architektura (liczne kapliczki, figury i krzyże przydrożne), a także kolejki wąskotorowe: tzw. Bieszczadzką Kolejkę Leśną oraz kolejkę Przeworsk-Dynów.</w:t>
      </w:r>
    </w:p>
    <w:p w:rsidR="0094273C" w:rsidRPr="0094273C" w:rsidRDefault="0094273C" w:rsidP="004D673E">
      <w:pPr>
        <w:ind w:firstLine="567"/>
      </w:pPr>
      <w:r w:rsidRPr="0094273C">
        <w:t xml:space="preserve">Istotnym elementem dziedzictwa kulturowego województwa jest tradycyjne wiejskie budownictwo drewniane. Jego wartościowe przykłady zgromadzono np. w Muzeum Budownictwa Ludowego w Sanoku oraz Muzeum Kultury Ludowej w Kolbuszowej. </w:t>
      </w:r>
    </w:p>
    <w:p w:rsidR="0094273C" w:rsidRPr="0094273C" w:rsidRDefault="0094273C" w:rsidP="004D673E">
      <w:pPr>
        <w:ind w:firstLine="567"/>
        <w:rPr>
          <w:strike/>
        </w:rPr>
      </w:pPr>
      <w:r w:rsidRPr="0094273C">
        <w:t>Wartościowymi elementami dziedzictwa kulturowego są też licznie występujące zabytki archeologiczne, będące świadectwem bogatych dziejów regionu od epoki kamienia po epokę nowożytną. Na szczególną uwagę zasługuje otwarty w 2011 r. Skansen Archeologiczny „Karpacka Troja” w Trzcinicy.</w:t>
      </w:r>
    </w:p>
    <w:p w:rsidR="0094273C" w:rsidRPr="0094273C" w:rsidRDefault="0094273C" w:rsidP="004D673E">
      <w:pPr>
        <w:ind w:firstLine="567"/>
      </w:pPr>
      <w:r w:rsidRPr="0094273C">
        <w:t xml:space="preserve">Do zasobów kulturowych regionu zaliczyć należy również, tzw. dobra kultury współczesnej, a więc niebędące zabytkami obiekty, ich detale, zespoły bądź założenia przestrzenne charakteryzujące się wysoką wartością artystyczną lub historyczną m. in. obiekty architektury </w:t>
      </w:r>
      <w:r w:rsidRPr="0094273C">
        <w:lastRenderedPageBreak/>
        <w:t xml:space="preserve">sakralnej (np. kościół p.w. Matki Bożej Saletyńskiej w Rzeszowie, kościół p.w. św. Józefa Robotnika w Ustrzykach Dolnych), obiekty użyteczności publicznej (np. gmach Muzeum Narodowego Ziemi Przemyskiej, Hala Widowiskowo-Sportowa im. Jana Strzelczyka w Rzeszowie), pomniki i obiekty małej architektury (np. fontanna z postacią niedźwiedzicy w Przemyślu, rzeźba Józefa Szajny „Przejście </w:t>
      </w:r>
      <w:smartTag w:uri="urn:schemas-microsoft-com:office:smarttags" w:element="metricconverter">
        <w:smartTagPr>
          <w:attr w:name="ProductID" w:val="2001”"/>
        </w:smartTagPr>
        <w:r w:rsidRPr="0094273C">
          <w:t>2001”</w:t>
        </w:r>
      </w:smartTag>
      <w:r w:rsidRPr="0094273C">
        <w:t xml:space="preserve"> w Rzeszowie), obiekty techniki (elektrownia z zaporą wodną w Solinie), cmentarze (żołnierzy Wehrmachtu w Przemyślu, żołnierzy poległych podczas II Wojny Światowej w Dukli) czy osiedla mieszkaniowe („Przywiśle” w Tarnobrzegu, dawne osiedle WSK w Mielcu). </w:t>
      </w:r>
    </w:p>
    <w:p w:rsidR="0094273C" w:rsidRPr="0094273C" w:rsidRDefault="0094273C" w:rsidP="004D673E">
      <w:pPr>
        <w:pStyle w:val="Nagwek4"/>
      </w:pPr>
      <w:bookmarkStart w:id="147" w:name="_Toc349130280"/>
      <w:bookmarkStart w:id="148" w:name="_Toc359241661"/>
      <w:bookmarkStart w:id="149" w:name="_Toc378314163"/>
      <w:bookmarkStart w:id="150" w:name="_Toc378314379"/>
      <w:bookmarkStart w:id="151" w:name="_Toc384300299"/>
      <w:bookmarkStart w:id="152" w:name="_Toc397925191"/>
      <w:bookmarkStart w:id="153" w:name="_Toc397925549"/>
      <w:r w:rsidRPr="0094273C">
        <w:t>Tereny zdewastowane</w:t>
      </w:r>
      <w:bookmarkEnd w:id="147"/>
      <w:bookmarkEnd w:id="148"/>
      <w:bookmarkEnd w:id="149"/>
      <w:bookmarkEnd w:id="150"/>
      <w:bookmarkEnd w:id="151"/>
      <w:bookmarkEnd w:id="152"/>
      <w:bookmarkEnd w:id="153"/>
    </w:p>
    <w:p w:rsidR="0094273C" w:rsidRPr="0094273C" w:rsidRDefault="0094273C" w:rsidP="004D673E">
      <w:pPr>
        <w:ind w:firstLine="567"/>
      </w:pPr>
      <w:r w:rsidRPr="0094273C">
        <w:t xml:space="preserve">Według danych GUS, w 2010 roku w województwie znajdowało się 1809 ha gruntów wymagających rekultywacji, w roku 2011 – 1762 ha, a w roku 2012 – 1697 ha. </w:t>
      </w:r>
    </w:p>
    <w:p w:rsidR="0094273C" w:rsidRPr="0094273C" w:rsidRDefault="0094273C" w:rsidP="004D673E">
      <w:pPr>
        <w:ind w:firstLine="567"/>
      </w:pPr>
      <w:r w:rsidRPr="0094273C">
        <w:t xml:space="preserve">Największe powierzchnie gruntów zdewastowanych i zdegradowanych powstały w wyniku intensywnej działalności eksploatacyjnej surowców mineralnych, zwłaszcza kruszyw i siarki (88,9 %). </w:t>
      </w:r>
    </w:p>
    <w:p w:rsidR="0094273C" w:rsidRPr="0094273C" w:rsidRDefault="0094273C" w:rsidP="004D673E">
      <w:pPr>
        <w:ind w:firstLine="567"/>
      </w:pPr>
      <w:r w:rsidRPr="0094273C">
        <w:t>Problematyka rekultywacji gruntów zdegradowanych obejmuje głównie tereny powiatów: tarnobrzeskiego, stalowowolskiego oraz w niewielkim stopniu pow. lubaczowskiego (zamknięta kopalnia siarki „Basznia”). W przypadku kopalni „Basznia”, zarysowała się perspektywa powrotu do wydobycia siarki.</w:t>
      </w:r>
    </w:p>
    <w:p w:rsidR="0094273C" w:rsidRPr="0094273C" w:rsidRDefault="0094273C" w:rsidP="004D673E">
      <w:pPr>
        <w:ind w:firstLine="567"/>
      </w:pPr>
      <w:r w:rsidRPr="0094273C">
        <w:t xml:space="preserve">Powierzchnia gruntów wymagających rekultywacji ulega corocznemu, sukcesywnemu zmniejszaniu. </w:t>
      </w:r>
    </w:p>
    <w:p w:rsidR="0094273C" w:rsidRPr="0094273C" w:rsidRDefault="009D4C0D" w:rsidP="004D673E">
      <w:pPr>
        <w:pStyle w:val="Nagwek4"/>
      </w:pPr>
      <w:bookmarkStart w:id="154" w:name="_Toc349130288"/>
      <w:bookmarkStart w:id="155" w:name="_Toc359241669"/>
      <w:bookmarkStart w:id="156" w:name="_Toc378314172"/>
      <w:bookmarkStart w:id="157" w:name="_Toc378314387"/>
      <w:bookmarkStart w:id="158" w:name="_Toc384300307"/>
      <w:bookmarkStart w:id="159" w:name="_Toc397925192"/>
      <w:bookmarkStart w:id="160" w:name="_Toc397925550"/>
      <w:r>
        <w:t>A</w:t>
      </w:r>
      <w:r w:rsidR="0094273C" w:rsidRPr="0094273C">
        <w:t>nalizy specyficzne</w:t>
      </w:r>
      <w:bookmarkEnd w:id="154"/>
      <w:bookmarkEnd w:id="155"/>
      <w:bookmarkEnd w:id="156"/>
      <w:bookmarkEnd w:id="157"/>
      <w:bookmarkEnd w:id="158"/>
      <w:bookmarkEnd w:id="159"/>
      <w:bookmarkEnd w:id="160"/>
    </w:p>
    <w:p w:rsidR="0094273C" w:rsidRPr="009D4C0D" w:rsidRDefault="0094273C" w:rsidP="004D673E">
      <w:pPr>
        <w:rPr>
          <w:b/>
        </w:rPr>
      </w:pPr>
      <w:bookmarkStart w:id="161" w:name="_Toc349130289"/>
      <w:bookmarkStart w:id="162" w:name="_Toc359241670"/>
      <w:bookmarkStart w:id="163" w:name="_Toc378314173"/>
      <w:bookmarkStart w:id="164" w:name="_Toc378314388"/>
      <w:bookmarkStart w:id="165" w:name="_Toc384300308"/>
      <w:bookmarkStart w:id="166" w:name="_Toc397925193"/>
      <w:bookmarkStart w:id="167" w:name="_Toc397925551"/>
      <w:r w:rsidRPr="009D4C0D">
        <w:rPr>
          <w:b/>
        </w:rPr>
        <w:t>Ludzie (warunki życia, zachowania społeczne)</w:t>
      </w:r>
      <w:bookmarkEnd w:id="161"/>
      <w:bookmarkEnd w:id="162"/>
      <w:bookmarkEnd w:id="163"/>
      <w:bookmarkEnd w:id="164"/>
      <w:bookmarkEnd w:id="165"/>
      <w:bookmarkEnd w:id="166"/>
      <w:bookmarkEnd w:id="167"/>
    </w:p>
    <w:p w:rsidR="0094273C" w:rsidRPr="0094273C" w:rsidRDefault="0094273C" w:rsidP="004D673E">
      <w:pPr>
        <w:ind w:firstLine="708"/>
      </w:pPr>
      <w:r w:rsidRPr="0094273C">
        <w:t xml:space="preserve">Z danych statystycznych na lata 2010 – 2012 wynika, iż w województwie podkarpackim liczba ludności wykazuje tendencję wzrostową, a struktura ludności wskazuje na przewagę mieszkańców obszarów wiejskich, którzy stanowią 58,7% ogółu. Niezmienna od kilku lat na terenie województwa jest proporcja według płci – kobiety stanowią 51 % ogółu ludności. Co ważne w roku 2012 utrzymał się dodatni przyrost naturalny na terenie Podkarpacia, warunkujący zachowanie korzystnej struktury demograficznej. Z drugiej strony na przestrzeni ostatnich lat zanotowane zostało ujemne saldo migracji na pobyt stały mieszkańców województwa, zarówno wewnętrznych, jak i zagranicznych. </w:t>
      </w:r>
    </w:p>
    <w:p w:rsidR="0094273C" w:rsidRPr="0094273C" w:rsidRDefault="0094273C" w:rsidP="004D673E">
      <w:pPr>
        <w:ind w:firstLine="708"/>
      </w:pPr>
      <w:r w:rsidRPr="0094273C">
        <w:t>Mieszkańcy województwa podkarpackiego są zaangażowani w sprawy społeczne oraz chcą wpływać na procesy zachodzące w regionie, o czym świadczy wysoka frekwencja (wyższa niż w Polsce) w wyborach samorządowych, prezydenckich i parlamentarnych na przestrzeni lat 2005 – 2010. Wysoko także można ocenić aktywność społeczną mieszkańców województwa, która wyraża się w wysokiej, przewyższającej poziom ogólnopolski, liczbie organizacji pozarządowych w przeliczeniu na 10 tys. mieszkańców.</w:t>
      </w:r>
    </w:p>
    <w:p w:rsidR="0094273C" w:rsidRPr="009D4C0D" w:rsidRDefault="0094273C" w:rsidP="004D673E">
      <w:pPr>
        <w:rPr>
          <w:b/>
        </w:rPr>
      </w:pPr>
      <w:bookmarkStart w:id="168" w:name="_Toc349130290"/>
      <w:bookmarkStart w:id="169" w:name="_Toc359241671"/>
      <w:bookmarkStart w:id="170" w:name="_Toc378314174"/>
      <w:bookmarkStart w:id="171" w:name="_Toc378314389"/>
      <w:bookmarkStart w:id="172" w:name="_Toc384300309"/>
      <w:bookmarkStart w:id="173" w:name="_Toc397925194"/>
      <w:bookmarkStart w:id="174" w:name="_Toc397925552"/>
      <w:r w:rsidRPr="009D4C0D">
        <w:rPr>
          <w:b/>
        </w:rPr>
        <w:t>Edukacja</w:t>
      </w:r>
      <w:bookmarkEnd w:id="168"/>
      <w:bookmarkEnd w:id="169"/>
      <w:bookmarkEnd w:id="170"/>
      <w:bookmarkEnd w:id="171"/>
      <w:bookmarkEnd w:id="172"/>
      <w:bookmarkEnd w:id="173"/>
      <w:bookmarkEnd w:id="174"/>
    </w:p>
    <w:p w:rsidR="0094273C" w:rsidRPr="0094273C" w:rsidRDefault="0094273C" w:rsidP="004D673E">
      <w:pPr>
        <w:ind w:firstLine="708"/>
      </w:pPr>
      <w:r w:rsidRPr="0094273C">
        <w:t xml:space="preserve">Województwo podkarpackie charakteryzuje się wysokim udziałem ludności kształcącej się na wszystkich poziomach edukacji, który wynosi 26 % ogółu ludności (w Polsce – 23%). Na przestrzeni lat 2005 – 2012 odnotowano wzrost liczby osób posiadających wyższe wykształcenie z 10% do 18%. </w:t>
      </w:r>
      <w:r w:rsidRPr="0094273C">
        <w:lastRenderedPageBreak/>
        <w:t xml:space="preserve">Województwo podkarpackie posiada przy tym wysoki udział uczniów i studentów w liczbie ludności (23,2 %, przy najwyższym w skali UE udziale wynoszącym 33,3 %). </w:t>
      </w:r>
    </w:p>
    <w:p w:rsidR="0094273C" w:rsidRPr="0094273C" w:rsidRDefault="0094273C" w:rsidP="004D673E">
      <w:pPr>
        <w:ind w:firstLine="708"/>
      </w:pPr>
      <w:r w:rsidRPr="0094273C">
        <w:t>Z drugiej strony odnotowuje się stosunkowo niski udział dzieci w edukacji przedszkolnej oraz znaczące dysproporcje w dostępie do tej edukacji pomiędzy miastami i obszarami wiejskimi (w większych miastach odsetek dzieci uczęszczających do przedszkola sięga 86 %, a na obszarach wiejskich – zaledwie ok. 30 %). Współczynnik skolaryzacji w województwie (z wyłączeniem szkolnictwa wyższego) jest porównywalny do średniej w Polsce.</w:t>
      </w:r>
    </w:p>
    <w:p w:rsidR="0094273C" w:rsidRPr="0094273C" w:rsidRDefault="0094273C" w:rsidP="004D673E">
      <w:pPr>
        <w:ind w:firstLine="567"/>
      </w:pPr>
      <w:r w:rsidRPr="0094273C">
        <w:rPr>
          <w:rFonts w:eastAsia="Calibri"/>
        </w:rPr>
        <w:t xml:space="preserve">Głównym ośrodkiem szkolnictwa wyższego w województwie podkarpackim jest Rzeszów, gdzie znajdują się największe uczelnie. Poza miastem wojewódzkim uczelnie funkcjonują m. in. w: Przemyślu, </w:t>
      </w:r>
      <w:r w:rsidRPr="0094273C">
        <w:t>Stalowej Woli, Jaśle, Krośnie, Tarnobrzegu, Jarosławiu, Przeworsku i Sanoku Do cech wyróżniających uczelnie regionu na tle kraju, należy wysoki odsetek studentów zagranicznych, wśród których najliczniej reprezentowani są Ukraińcy. Interesującym zjawiskiem jest także działalność „uniwersytetów trzeciego wieku” prowadzona przy niektórych uczelniach województwa, co dowodzi o aktywności intelektualnej osób starszych.</w:t>
      </w:r>
    </w:p>
    <w:p w:rsidR="0094273C" w:rsidRPr="009D4C0D" w:rsidRDefault="0094273C" w:rsidP="004D673E">
      <w:pPr>
        <w:rPr>
          <w:b/>
        </w:rPr>
      </w:pPr>
      <w:bookmarkStart w:id="175" w:name="_Toc349130291"/>
      <w:bookmarkStart w:id="176" w:name="_Toc359241672"/>
      <w:bookmarkStart w:id="177" w:name="_Toc378314175"/>
      <w:bookmarkStart w:id="178" w:name="_Toc378314390"/>
      <w:bookmarkStart w:id="179" w:name="_Toc384300310"/>
      <w:bookmarkStart w:id="180" w:name="_Toc397925195"/>
      <w:bookmarkStart w:id="181" w:name="_Toc397925553"/>
      <w:r w:rsidRPr="009D4C0D">
        <w:rPr>
          <w:b/>
        </w:rPr>
        <w:t>Ochrona zdrowia</w:t>
      </w:r>
      <w:bookmarkEnd w:id="175"/>
      <w:bookmarkEnd w:id="176"/>
      <w:bookmarkEnd w:id="177"/>
      <w:bookmarkEnd w:id="178"/>
      <w:bookmarkEnd w:id="179"/>
      <w:bookmarkEnd w:id="180"/>
      <w:bookmarkEnd w:id="181"/>
    </w:p>
    <w:p w:rsidR="0094273C" w:rsidRPr="0094273C" w:rsidRDefault="0094273C" w:rsidP="004D673E">
      <w:pPr>
        <w:ind w:firstLine="567"/>
      </w:pPr>
      <w:bookmarkStart w:id="182" w:name="_Toc349130292"/>
      <w:bookmarkStart w:id="183" w:name="_Toc359241673"/>
      <w:r w:rsidRPr="0094273C">
        <w:t>Badania wskazują, iż stan zdrowia mieszkańców województwa kształtuje się na poziomie lepszym od stanu zdrowia ogółu Polaków. Najczęstszymi przyczynami zgonów w województwie są choroby układu krążenia i nowotwory. Jednak śmiertelność z powodu chorób układu krążenia pozostaje poniżej poziomu ogólnopolskiego i obniża się, pomimo wzrostu w kraju. Stopniowo wzrasta natomiast wskaźnik śmiertelności z powodu chorób nowotworowych. Niezadowalająca pozostaje dostępność do opieki ambulatoryjnej (w 2010 r. województwo znalazło się poniżej średniej ogólnopolskiej w tym zakresie).</w:t>
      </w:r>
    </w:p>
    <w:p w:rsidR="0094273C" w:rsidRPr="0094273C" w:rsidRDefault="0094273C" w:rsidP="004D673E">
      <w:pPr>
        <w:ind w:firstLine="567"/>
      </w:pPr>
      <w:r w:rsidRPr="0094273C">
        <w:t xml:space="preserve">Podkarpackie wyróżnia się pozytywnie na tle kraju pod względem dostępności do opieki uzdrowiskowej. Cennym walorem jest również występowanie źródeł wód mineralnych, które znajdują się aż w 150 miejscowościach (do celów leczniczych wykorzystuje się je jednak tylko w 4 miejscowościach - Horyńcu-Zdroju, Iwoniczu-Zdroju, Polańczyku i Rymanowie Zdroju). </w:t>
      </w:r>
    </w:p>
    <w:p w:rsidR="0094273C" w:rsidRPr="009D4C0D" w:rsidRDefault="0094273C" w:rsidP="004D673E">
      <w:pPr>
        <w:rPr>
          <w:b/>
        </w:rPr>
      </w:pPr>
      <w:bookmarkStart w:id="184" w:name="_Toc378314176"/>
      <w:bookmarkStart w:id="185" w:name="_Toc378314391"/>
      <w:bookmarkStart w:id="186" w:name="_Toc384300311"/>
      <w:bookmarkStart w:id="187" w:name="_Toc397925196"/>
      <w:bookmarkStart w:id="188" w:name="_Toc397925554"/>
      <w:r w:rsidRPr="009D4C0D">
        <w:rPr>
          <w:b/>
        </w:rPr>
        <w:t>Gospodarka</w:t>
      </w:r>
      <w:bookmarkEnd w:id="182"/>
      <w:bookmarkEnd w:id="183"/>
      <w:bookmarkEnd w:id="184"/>
      <w:bookmarkEnd w:id="185"/>
      <w:bookmarkEnd w:id="186"/>
      <w:bookmarkEnd w:id="187"/>
      <w:bookmarkEnd w:id="188"/>
    </w:p>
    <w:p w:rsidR="0094273C" w:rsidRPr="0094273C" w:rsidRDefault="0094273C" w:rsidP="004D673E">
      <w:pPr>
        <w:ind w:firstLine="567"/>
      </w:pPr>
      <w:r w:rsidRPr="0094273C">
        <w:t>Województwo podkarpackie charakteryzuje się dynamicznym, ale relatywnie niskim poziomem rozwoju społeczno-gospodarczego oraz wyraźnym zróżnicowaniem wewnętrznym pod względem poziomu PKB per capita. Stan rozwoju gospodarki województwa jest dużo niższy od średniej krajowej, występuje na tym terenie niski wskaźnik zatrudnienia oraz wysoki poziom bezrobocia, co skutkuje bardzo niskimi dochodami gospodarstw domowych. Sytuacja ta zmusza ludzi do emigracji zarobkowej, szczególnie młodych, ambitnych i dobrze wykształconych.</w:t>
      </w:r>
    </w:p>
    <w:p w:rsidR="0094273C" w:rsidRPr="0094273C" w:rsidRDefault="0094273C" w:rsidP="004D673E">
      <w:pPr>
        <w:ind w:firstLine="567"/>
      </w:pPr>
      <w:r w:rsidRPr="0094273C">
        <w:t>W strukturze gałęziowej przemysłu dominują: przemysł lotniczy, elektromaszynowy, chemiczny i spożywczy, które wytwarzają łącznie prawie 70 % produkcji sprzedanej przemysłu. Duże znaczenie dla regionu ma o</w:t>
      </w:r>
      <w:r w:rsidRPr="0094273C">
        <w:rPr>
          <w:bCs/>
        </w:rPr>
        <w:t>becność kooperujących firm przemysłu lotniczego w ramach Doliny Lotniczej. Na terenie województwa działają parki przemysłowo - technologiczne oraz Specjalne Strefy Ekonomiczne</w:t>
      </w:r>
      <w:r w:rsidRPr="0094273C">
        <w:t xml:space="preserve">. </w:t>
      </w:r>
    </w:p>
    <w:p w:rsidR="0094273C" w:rsidRPr="0094273C" w:rsidRDefault="0094273C" w:rsidP="004D673E">
      <w:pPr>
        <w:ind w:firstLine="567"/>
      </w:pPr>
      <w:r w:rsidRPr="0094273C">
        <w:lastRenderedPageBreak/>
        <w:t>Istotny dla gospodarki województwa jest sektor rolnictwa, ze względu na duże obszary użytków rolnych. Rolnictwo posiada własną specyfikę, wyróżniającą się przede wszystkim nadmiarem zasobów siły roboczej, dużym rozdrobnieniem agrarnym oraz niską towarowością produkcji rolnej. Ponad jedna trzecia osób pracujących zatrudniona jest w sektorze rolniczym.</w:t>
      </w:r>
    </w:p>
    <w:p w:rsidR="0094273C" w:rsidRPr="0094273C" w:rsidRDefault="0094273C" w:rsidP="004D673E">
      <w:pPr>
        <w:ind w:firstLine="567"/>
      </w:pPr>
      <w:r w:rsidRPr="0094273C">
        <w:t>Syntetyczna ocena gospodarki województwa podkarpackiego na tle kraju dowodzi, że region ten należy do grupy jednostek o najniższym poziomie rozwoju społeczno-gospodarczego.</w:t>
      </w:r>
    </w:p>
    <w:p w:rsidR="0094273C" w:rsidRPr="009D4C0D" w:rsidRDefault="0094273C" w:rsidP="004D673E">
      <w:pPr>
        <w:rPr>
          <w:b/>
        </w:rPr>
      </w:pPr>
      <w:bookmarkStart w:id="189" w:name="_Toc349130293"/>
      <w:bookmarkStart w:id="190" w:name="_Toc359241674"/>
      <w:bookmarkStart w:id="191" w:name="_Toc378314177"/>
      <w:bookmarkStart w:id="192" w:name="_Toc378314392"/>
      <w:bookmarkStart w:id="193" w:name="_Toc384300312"/>
      <w:bookmarkStart w:id="194" w:name="_Toc397925197"/>
      <w:bookmarkStart w:id="195" w:name="_Toc397925555"/>
      <w:r w:rsidRPr="009D4C0D">
        <w:rPr>
          <w:b/>
        </w:rPr>
        <w:t>Transport</w:t>
      </w:r>
      <w:bookmarkEnd w:id="189"/>
      <w:bookmarkEnd w:id="190"/>
      <w:bookmarkEnd w:id="191"/>
      <w:bookmarkEnd w:id="192"/>
      <w:bookmarkEnd w:id="193"/>
      <w:bookmarkEnd w:id="194"/>
      <w:bookmarkEnd w:id="195"/>
    </w:p>
    <w:p w:rsidR="0094273C" w:rsidRPr="0094273C" w:rsidRDefault="0094273C" w:rsidP="004D673E">
      <w:pPr>
        <w:ind w:firstLine="567"/>
      </w:pPr>
      <w:r w:rsidRPr="0094273C">
        <w:t xml:space="preserve">Województwo podkarpackie posiada dobrą dostępność komunikacyjną, przy czym najlepsze powiązania komunikacyjne ma część północno-zachodnia i centralna tego regionu, natomiast najniższa dostępność występuje na obszarze Bieszczad. Przez teren Podkarpacia przebiegają trasy komunikacyjne należące do transeuropejskiej sieci transportowej TEN-T, z których najważniejsze są: droga międzynarodowa E40, magistrala kolejowa E30 i lotnisko Rzeszów – Jasionka. Duże znaczenie dla regionu ma także budowa autostrady A4 oraz planowana droga ekspresowa S19. Województwo stanowi zewnętrzną granicę UE z Ukrainą, z którą posiada powiązania komunikacyjne poprzez przejścia graniczne: drogowe i kolejowe. </w:t>
      </w:r>
    </w:p>
    <w:p w:rsidR="0094273C" w:rsidRPr="009D4C0D" w:rsidRDefault="009D4C0D" w:rsidP="004D673E">
      <w:pPr>
        <w:rPr>
          <w:b/>
        </w:rPr>
      </w:pPr>
      <w:bookmarkStart w:id="196" w:name="_Toc349130294"/>
      <w:bookmarkStart w:id="197" w:name="_Toc359241675"/>
      <w:bookmarkStart w:id="198" w:name="_Toc378314178"/>
      <w:bookmarkStart w:id="199" w:name="_Toc378314393"/>
      <w:bookmarkStart w:id="200" w:name="_Toc384300313"/>
      <w:bookmarkStart w:id="201" w:name="_Toc397925198"/>
      <w:bookmarkStart w:id="202" w:name="_Toc397925556"/>
      <w:r w:rsidRPr="009D4C0D">
        <w:rPr>
          <w:b/>
        </w:rPr>
        <w:t>E</w:t>
      </w:r>
      <w:r w:rsidR="0094273C" w:rsidRPr="009D4C0D">
        <w:rPr>
          <w:b/>
        </w:rPr>
        <w:t>nergetyka</w:t>
      </w:r>
      <w:bookmarkEnd w:id="196"/>
      <w:bookmarkEnd w:id="197"/>
      <w:bookmarkEnd w:id="198"/>
      <w:bookmarkEnd w:id="199"/>
      <w:bookmarkEnd w:id="200"/>
      <w:bookmarkEnd w:id="201"/>
      <w:bookmarkEnd w:id="202"/>
      <w:r w:rsidR="0094273C" w:rsidRPr="009D4C0D">
        <w:rPr>
          <w:b/>
        </w:rPr>
        <w:t xml:space="preserve"> </w:t>
      </w:r>
    </w:p>
    <w:p w:rsidR="0094273C" w:rsidRPr="0094273C" w:rsidRDefault="0094273C" w:rsidP="004D673E">
      <w:pPr>
        <w:ind w:firstLine="567"/>
      </w:pPr>
      <w:r w:rsidRPr="0094273C">
        <w:t xml:space="preserve">W województwie podkarpackim źródłem zasilania są elektrownie systemowe, pracujące w systemie elektroenergetycznym Polskiej Grupy Energetycznej S. A. Województwo wykorzystuje także energetykę wiatrową i wodną (funkcjonuje 18 elektrowni wiatrowych i 18 elektrowni wodnych, z których największe znaczenie ma Zespół Elektrowni Wodnych Solina-Myczkowce). </w:t>
      </w:r>
    </w:p>
    <w:p w:rsidR="0094273C" w:rsidRPr="0094273C" w:rsidRDefault="0094273C" w:rsidP="004D673E">
      <w:pPr>
        <w:ind w:firstLine="567"/>
      </w:pPr>
      <w:r w:rsidRPr="0094273C">
        <w:t>Na obszarze Podkarpacia występują złoża gazu ziemnego, a jego wydobycie pokrywa 12% krajowego zapotrzebowania. Województwo podkarpackie jest trzecim, co do gęstości sieci gazowych, województwem w Polsce, wyprzedzają je jedynie województwa: śląskie i małopolskie.</w:t>
      </w:r>
    </w:p>
    <w:p w:rsidR="0094273C" w:rsidRPr="0094273C" w:rsidRDefault="0094273C" w:rsidP="004D673E">
      <w:pPr>
        <w:ind w:firstLine="567"/>
      </w:pPr>
      <w:r w:rsidRPr="0094273C">
        <w:t>Źródłami energii odnawialnej na terenie województwa podkarpackiego są: elektrownie biogazowe, elektrownie biomasowe, elektrownie wiatrowe oraz elektrownie wodne przepływowe.</w:t>
      </w:r>
    </w:p>
    <w:p w:rsidR="0094273C" w:rsidRPr="0094273C" w:rsidRDefault="0094273C" w:rsidP="004D673E">
      <w:pPr>
        <w:pStyle w:val="Nagwek4"/>
      </w:pPr>
      <w:bookmarkStart w:id="203" w:name="_Toc349130295"/>
      <w:bookmarkStart w:id="204" w:name="_Toc359241676"/>
      <w:bookmarkStart w:id="205" w:name="_Toc378314179"/>
      <w:bookmarkStart w:id="206" w:name="_Toc378314394"/>
      <w:bookmarkStart w:id="207" w:name="_Toc384300314"/>
      <w:bookmarkStart w:id="208" w:name="_Toc397925199"/>
      <w:bookmarkStart w:id="209" w:name="_Toc397925557"/>
      <w:r w:rsidRPr="0094273C">
        <w:t>Potencjalne zmiany istniejącego stanu środowiska w przypadku braku realizacji</w:t>
      </w:r>
      <w:r w:rsidRPr="0094273C">
        <w:br/>
        <w:t xml:space="preserve">projektu </w:t>
      </w:r>
      <w:bookmarkEnd w:id="203"/>
      <w:bookmarkEnd w:id="204"/>
      <w:r w:rsidRPr="0094273C">
        <w:t>RPO</w:t>
      </w:r>
      <w:bookmarkEnd w:id="205"/>
      <w:bookmarkEnd w:id="206"/>
      <w:bookmarkEnd w:id="207"/>
      <w:bookmarkEnd w:id="208"/>
      <w:bookmarkEnd w:id="209"/>
    </w:p>
    <w:p w:rsidR="0094273C" w:rsidRPr="0094273C" w:rsidRDefault="0094273C" w:rsidP="004D673E">
      <w:pPr>
        <w:ind w:firstLine="567"/>
      </w:pPr>
      <w:r w:rsidRPr="0094273C">
        <w:t xml:space="preserve">Oceny potencjalnych zmian w środowisku, w przypadku braku realizacji projektu RPO, dokonano analizując podstawowe cele dokumentu, opisy przedsięwzięć przewidzianych do finansowania wraz z przykładowymi typami projektów przy uwzględnieniu aktualnego stanu środowiska, tendencji jego zmian oraz występujących problemów środowiskowych. </w:t>
      </w:r>
    </w:p>
    <w:p w:rsidR="0094273C" w:rsidRPr="0094273C" w:rsidRDefault="0094273C" w:rsidP="004D673E">
      <w:pPr>
        <w:ind w:firstLine="567"/>
      </w:pPr>
      <w:r w:rsidRPr="0094273C">
        <w:t xml:space="preserve">Szczególnie niekorzystne zmiany w aspekcie skutków środowiskowych przewiduje się w przypadku odstąpienia od realizacji celu nadrzędnego sformułowanego dla osi priorytetowej </w:t>
      </w:r>
      <w:r w:rsidRPr="0094273C">
        <w:rPr>
          <w:b/>
        </w:rPr>
        <w:t>IV. Ochrona środowiska naturalnego i dziedzictwa kulturowego</w:t>
      </w:r>
      <w:r w:rsidRPr="0094273C">
        <w:t xml:space="preserve">: </w:t>
      </w:r>
      <w:r w:rsidRPr="0094273C">
        <w:rPr>
          <w:i/>
        </w:rPr>
        <w:t xml:space="preserve">Ochrona środowiska, zachowanie różnorodności biologicznej oraz wykorzystanie dziedzictwa kulturowego dla zwiększenia atrakcyjności regionu. </w:t>
      </w:r>
      <w:r w:rsidRPr="0094273C">
        <w:t xml:space="preserve">Odstąpienie od realizacji tak określonego celu oznaczałoby zaniechanie obowiązku realizacji globalnej, wspólnotowej i krajowej polityki ekologicznej oraz prowadziłoby do braku poprawy stanu </w:t>
      </w:r>
      <w:r w:rsidRPr="0094273C">
        <w:lastRenderedPageBreak/>
        <w:t>obecnego i powstania tendencji zmian negatywnych w odniesieniu do całokształtu środowiska obszaru województwa oraz jego mieszkańców, zwłaszcza w zakresie: zagrożenia powodziami, osiągnięcia i utrzymania dobrego stanu wód, poprawy jakości powietrza i zagrożeń związanych z emisją ponadnormatywnego hałasu na terenach zurbanizowanych, zanieczyszczenia gleb i degradacji powierzchni ziemi, zagrożenia środowiska odpadami, przeciwdziałania zmianom klimatu, ochrony lasów, ochrony bioróżnorodności i krajobrazu oraz obszarów przyrodniczo cennych.</w:t>
      </w:r>
    </w:p>
    <w:p w:rsidR="0094273C" w:rsidRPr="0094273C" w:rsidRDefault="0094273C" w:rsidP="004D673E">
      <w:pPr>
        <w:ind w:firstLine="567"/>
      </w:pPr>
      <w:r w:rsidRPr="0094273C">
        <w:t xml:space="preserve">Negatywne skutki środowiskowe mogą wystąpić przy braku realizacji celu osi priorytetowej </w:t>
      </w:r>
      <w:r w:rsidRPr="0094273C">
        <w:rPr>
          <w:b/>
        </w:rPr>
        <w:t>III. Czysta energia</w:t>
      </w:r>
      <w:r w:rsidRPr="0094273C">
        <w:t xml:space="preserve"> – </w:t>
      </w:r>
      <w:r w:rsidRPr="0094273C">
        <w:rPr>
          <w:i/>
        </w:rPr>
        <w:t>Poprawa efektywności energetycznej oraz zwiększenie udziału odnawialnych źródeł energii.</w:t>
      </w:r>
      <w:r w:rsidRPr="0094273C">
        <w:t xml:space="preserve"> Brak realizacji celu może skutkować utrzymywaniem się zagrożeń związanych z ponadnormatywnym zanieczyszczeniem powietrza pyłami i benzo(a)pirenem na części terenów zurbanizowanych, w szczególności na obszarach miejskich, brakiem działań w procesie przeciwdziałania globalnym zmianom klimatycznym oraz w realizacji zobowiązań Polski w zakresie energetyki odnawialnej. Z drugiej strony inwestycje związane z rozwojem energetyki odnawialnej mogą negatywnie oddziaływać na środowisko, zwłaszcza na przyrodę i bioróżnorodność, lecz w projekcie RPO przewidziano ukierunkowanie terytorialne dla wspieranych inwestycji uwzględniające ochronę przyrody i zagrożenia dla ludzi. </w:t>
      </w:r>
    </w:p>
    <w:p w:rsidR="0094273C" w:rsidRPr="0094273C" w:rsidRDefault="0094273C" w:rsidP="004D673E">
      <w:pPr>
        <w:ind w:firstLine="567"/>
      </w:pPr>
    </w:p>
    <w:p w:rsidR="0094273C" w:rsidRPr="0094273C" w:rsidRDefault="0094273C" w:rsidP="004D673E">
      <w:pPr>
        <w:ind w:firstLine="567"/>
        <w:rPr>
          <w:b/>
          <w:i/>
        </w:rPr>
      </w:pPr>
      <w:r w:rsidRPr="0094273C">
        <w:t xml:space="preserve">Negatywnych skutków środowiskowych można spodziewać się przy braku realizacji celu określonego w ramach osi priorytetowej </w:t>
      </w:r>
      <w:r w:rsidRPr="0094273C">
        <w:rPr>
          <w:b/>
        </w:rPr>
        <w:t>I. Konkurencyjna i innowacyjna gospodarka</w:t>
      </w:r>
      <w:r w:rsidRPr="0094273C">
        <w:t xml:space="preserve"> – </w:t>
      </w:r>
      <w:r w:rsidRPr="0094273C">
        <w:rPr>
          <w:i/>
        </w:rPr>
        <w:t>Wzrost poziomu przedsiębiorczości oraz poprawa zewnętrznej konkurencyjności regionu</w:t>
      </w:r>
      <w:r w:rsidRPr="0094273C">
        <w:rPr>
          <w:b/>
          <w:i/>
        </w:rPr>
        <w:t xml:space="preserve">. </w:t>
      </w:r>
    </w:p>
    <w:p w:rsidR="0094273C" w:rsidRPr="0094273C" w:rsidRDefault="0094273C" w:rsidP="004D673E">
      <w:r w:rsidRPr="0094273C">
        <w:t xml:space="preserve">W ramach realizacji celów osi przewiduje się alokację środków dla projektów, które zapewnią unowocześnianie i wdrażanie innowacyjności w gospodarce, w tym wdrażanie innowacyjnych technologii w przemyśle i usługach. Jakość sieci przedsiębiorstw jest czynnikiem konkurencyjności, a nowoczesność i innowacyjność przedsiębiorstw jest tożsama ze stosowaniem rozwiązań pro-środowiskowych. Odstąpienie od realizacji projektu RPO w tym zakresie skutkowałoby utrzymywaniem się funkcjonowania technologii i rozwiązań przestarzałych, często wywierających dużą presję na środowisko. </w:t>
      </w:r>
    </w:p>
    <w:p w:rsidR="0094273C" w:rsidRPr="0094273C" w:rsidRDefault="0094273C" w:rsidP="004D673E">
      <w:pPr>
        <w:ind w:firstLine="567"/>
      </w:pPr>
      <w:r w:rsidRPr="0094273C">
        <w:t xml:space="preserve">W pewnym zakresie negatywne skutki środowiskowe spodziewane są przy braku wsparcia projektów wskazanych do realizacji w ramach osi priorytetowej </w:t>
      </w:r>
      <w:r w:rsidRPr="0094273C">
        <w:rPr>
          <w:b/>
        </w:rPr>
        <w:t>II. Cyfrowe Podkarpacie</w:t>
      </w:r>
      <w:r w:rsidRPr="0094273C">
        <w:t xml:space="preserve">. Zaplanowano tu osiągnięcie celu szczegółowego – </w:t>
      </w:r>
      <w:r w:rsidRPr="0094273C">
        <w:rPr>
          <w:i/>
        </w:rPr>
        <w:t xml:space="preserve">Wzrost jakości i rozszerzenie usług publicznych świadczonych drogą elektroniczną. </w:t>
      </w:r>
      <w:r w:rsidRPr="0094273C">
        <w:t xml:space="preserve">Pozwoli to w pewnym stopniu na ograniczenie potrzeby podróżowania, a co za tym idzie ograniczenie ruchu komunikacyjnego i jego negatywnego oddziaływania na środowisko. Brak realizacji RPO w tym zakresie powodować może utrzymywanie się lub potęgowanie negatywnych zjawisk związanych z emisją zanieczyszczeń komunikacyjnych i emisją hałasu w szczególności na terenach zurbanizowanych. </w:t>
      </w:r>
    </w:p>
    <w:p w:rsidR="0094273C" w:rsidRPr="0094273C" w:rsidRDefault="0094273C" w:rsidP="004D673E">
      <w:pPr>
        <w:ind w:firstLine="567"/>
      </w:pPr>
      <w:r w:rsidRPr="0094273C">
        <w:t xml:space="preserve">Negatywne skutki środowiskowe (choć budzi to pewne kontrowersje) mogą również wystąpić w efekcie zaniechania celu określonego dla osi priorytetowej </w:t>
      </w:r>
      <w:r w:rsidRPr="0094273C">
        <w:rPr>
          <w:b/>
        </w:rPr>
        <w:t>V. Infrastruktura komunikacyjna</w:t>
      </w:r>
      <w:r w:rsidRPr="0094273C">
        <w:t xml:space="preserve"> – </w:t>
      </w:r>
      <w:r w:rsidRPr="0094273C">
        <w:rPr>
          <w:i/>
        </w:rPr>
        <w:t>Poprawa powiązań komunikacyjnych w województwie</w:t>
      </w:r>
      <w:r w:rsidRPr="0094273C">
        <w:t xml:space="preserve">. W projekcie RPO przewidziano rozwój regionalnej sieci drogowej, w tym budowę obwodnic obszarów zurbanizowanych, modernizację dróg </w:t>
      </w:r>
      <w:r w:rsidRPr="0094273C">
        <w:lastRenderedPageBreak/>
        <w:t xml:space="preserve">istniejących oraz rozwój transportu multimodalnego. Rezygnacja z realizacji tego rodzaju zamierzeń z jednej strony pozwoliłaby na uniknięcie konfliktów przestrzennych z obszarami cennymi przyrodniczo w przypadku nowych inwestycji liniowych. Z drugiej jednak strony nie nastąpiłaby poprawa płynności ruchu, natomiast postępowałaby dalsza dekapitalizacja istniejącej infrastruktury drogowej, co wynika z intensywnego rozwoju motoryzacji. Poprawa płynności ruchu, dobry stan techniczny dróg, budowa obwodnic wyprowadzających ruch tranzytowy poza tereny zurbanizowane, skutkuje zmniejszeniem obciążeń środowiska emisją zanieczyszczeń komunikacyjnych i emisją hałasu oraz poprawą bezpieczeństwa ruchu. Niezrealizowanie projektu RPO w zakresie inwestycji komunikacyjnych nie spowoduje poprawy klimatu akustycznego i poprawy jakości powietrza w terenach zurbanizowanych obszaru województwa. Prawdopodobne natomiast będzie potęgowanie obciążeń środowiska w obszarach zagrożonych poprzez stale rosnący ruch komunikacyjny. Tych samych negatywnych skutków należy spodziewać się przy braku realizacji projektów dotyczących przebudowy transportu publicznego wraz z wymianą taboru na niskoemisyjny oraz przy braku wsparcia dla rozwiązań z zakresu organizacji ruchu. </w:t>
      </w:r>
    </w:p>
    <w:p w:rsidR="0094273C" w:rsidRPr="0094273C" w:rsidRDefault="0094273C" w:rsidP="004D673E">
      <w:pPr>
        <w:ind w:firstLine="567"/>
      </w:pPr>
      <w:r w:rsidRPr="0094273C">
        <w:t xml:space="preserve">Przewiduje się, iż brak realizacji RPO przyniesie przede wszystkim negatywne zmiany w odniesieniu do aktualnego stanu środowiska. </w:t>
      </w:r>
    </w:p>
    <w:p w:rsidR="0094273C" w:rsidRPr="0094273C" w:rsidRDefault="0094273C" w:rsidP="004D673E">
      <w:pPr>
        <w:pStyle w:val="Nagwek3"/>
      </w:pPr>
      <w:bookmarkStart w:id="210" w:name="_Toc349130296"/>
      <w:bookmarkStart w:id="211" w:name="_Toc359241677"/>
      <w:bookmarkStart w:id="212" w:name="_Toc378314180"/>
      <w:bookmarkStart w:id="213" w:name="_Toc378314395"/>
      <w:bookmarkStart w:id="214" w:name="_Toc384300315"/>
      <w:bookmarkStart w:id="215" w:name="_Toc397925200"/>
      <w:bookmarkStart w:id="216" w:name="_Toc397925558"/>
      <w:r w:rsidRPr="0094273C">
        <w:t>Analiza i ocena istniejących problemów ochrony środowiska istotnych z punktu widzenia projektu RPO, w szczególności dotyczących obszarów podlegających ochronie na podstawie ustawy z dnia 16 kwietnia 2004 roku o ochronie przyrody</w:t>
      </w:r>
      <w:bookmarkEnd w:id="210"/>
      <w:bookmarkEnd w:id="211"/>
      <w:bookmarkEnd w:id="212"/>
      <w:bookmarkEnd w:id="213"/>
      <w:bookmarkEnd w:id="214"/>
      <w:bookmarkEnd w:id="215"/>
      <w:bookmarkEnd w:id="216"/>
    </w:p>
    <w:p w:rsidR="0094273C" w:rsidRPr="0094273C" w:rsidRDefault="0094273C" w:rsidP="004D673E">
      <w:pPr>
        <w:pStyle w:val="Nagwek4"/>
      </w:pPr>
      <w:bookmarkStart w:id="217" w:name="_Toc349130297"/>
      <w:bookmarkStart w:id="218" w:name="_Toc359241678"/>
      <w:bookmarkStart w:id="219" w:name="_Toc378314181"/>
      <w:bookmarkStart w:id="220" w:name="_Toc378314396"/>
      <w:bookmarkStart w:id="221" w:name="_Toc384300316"/>
      <w:bookmarkStart w:id="222" w:name="_Toc397925201"/>
      <w:bookmarkStart w:id="223" w:name="_Toc397925559"/>
      <w:r w:rsidRPr="0094273C">
        <w:t>Obszary objęte ochroną na podstawie ustawy o ochronie przyrody</w:t>
      </w:r>
      <w:bookmarkEnd w:id="217"/>
      <w:bookmarkEnd w:id="218"/>
      <w:bookmarkEnd w:id="219"/>
      <w:bookmarkEnd w:id="220"/>
      <w:bookmarkEnd w:id="221"/>
      <w:bookmarkEnd w:id="222"/>
      <w:bookmarkEnd w:id="223"/>
    </w:p>
    <w:p w:rsidR="0094273C" w:rsidRPr="0094273C" w:rsidRDefault="0094273C" w:rsidP="004D673E">
      <w:pPr>
        <w:ind w:firstLine="567"/>
        <w:rPr>
          <w:b/>
        </w:rPr>
      </w:pPr>
      <w:r w:rsidRPr="0094273C">
        <w:rPr>
          <w:b/>
        </w:rPr>
        <w:t>W województwie podkarpackim znajdują się następujące formy ochrony przyrody i krajobrazu:</w:t>
      </w:r>
    </w:p>
    <w:p w:rsidR="0094273C" w:rsidRPr="0094273C" w:rsidRDefault="0094273C" w:rsidP="006E6138">
      <w:pPr>
        <w:numPr>
          <w:ilvl w:val="0"/>
          <w:numId w:val="91"/>
        </w:numPr>
        <w:spacing w:after="0"/>
        <w:ind w:hanging="294"/>
      </w:pPr>
      <w:r w:rsidRPr="0094273C">
        <w:rPr>
          <w:bCs/>
        </w:rPr>
        <w:t>2 parki narodowe</w:t>
      </w:r>
      <w:r w:rsidRPr="0094273C">
        <w:t>: Bieszczadzki, Magurski,</w:t>
      </w:r>
    </w:p>
    <w:p w:rsidR="0094273C" w:rsidRPr="0094273C" w:rsidRDefault="0094273C" w:rsidP="006E6138">
      <w:pPr>
        <w:numPr>
          <w:ilvl w:val="0"/>
          <w:numId w:val="91"/>
        </w:numPr>
        <w:spacing w:after="0"/>
        <w:ind w:hanging="294"/>
      </w:pPr>
      <w:r w:rsidRPr="0094273C">
        <w:rPr>
          <w:bCs/>
        </w:rPr>
        <w:t>96 rezerwatów przyrody</w:t>
      </w:r>
      <w:r w:rsidRPr="0094273C">
        <w:t>,</w:t>
      </w:r>
    </w:p>
    <w:p w:rsidR="0094273C" w:rsidRPr="0094273C" w:rsidRDefault="0094273C" w:rsidP="006E6138">
      <w:pPr>
        <w:numPr>
          <w:ilvl w:val="0"/>
          <w:numId w:val="91"/>
        </w:numPr>
        <w:spacing w:after="0"/>
        <w:ind w:hanging="294"/>
      </w:pPr>
      <w:r w:rsidRPr="0094273C">
        <w:rPr>
          <w:bCs/>
        </w:rPr>
        <w:t>10 parków krajobrazowych (z czego 4 położone są w części na terenie województwa podkarpackiego)</w:t>
      </w:r>
      <w:r w:rsidRPr="0094273C">
        <w:t xml:space="preserve">, </w:t>
      </w:r>
    </w:p>
    <w:p w:rsidR="0094273C" w:rsidRPr="0094273C" w:rsidRDefault="0094273C" w:rsidP="006E6138">
      <w:pPr>
        <w:numPr>
          <w:ilvl w:val="0"/>
          <w:numId w:val="91"/>
        </w:numPr>
        <w:spacing w:after="0"/>
        <w:ind w:hanging="294"/>
      </w:pPr>
      <w:r w:rsidRPr="0094273C">
        <w:t>13 obszarów chronionego krajobrazu,</w:t>
      </w:r>
    </w:p>
    <w:p w:rsidR="0094273C" w:rsidRPr="0094273C" w:rsidRDefault="0094273C" w:rsidP="006E6138">
      <w:pPr>
        <w:numPr>
          <w:ilvl w:val="0"/>
          <w:numId w:val="91"/>
        </w:numPr>
        <w:spacing w:after="0"/>
        <w:ind w:hanging="294"/>
      </w:pPr>
      <w:r w:rsidRPr="0094273C">
        <w:t>8 obszarów specjalnej ochrony ptaków Natura 2000 (z czego 4 obszary znajdują się tylko częściowo w obrębie województwa podkarpackiego),</w:t>
      </w:r>
    </w:p>
    <w:p w:rsidR="0094273C" w:rsidRPr="0094273C" w:rsidRDefault="0094273C" w:rsidP="006E6138">
      <w:pPr>
        <w:numPr>
          <w:ilvl w:val="0"/>
          <w:numId w:val="91"/>
        </w:numPr>
        <w:spacing w:after="0"/>
        <w:ind w:hanging="294"/>
      </w:pPr>
      <w:r w:rsidRPr="0094273C">
        <w:t>55 specjalnych obszarów ochrony siedlisk Natura 2000, projektowanych, mających znaczenie dla Wspólnoty (granica specjalnego obszaru ochrony siedlisk Natura 2000 Bieszczady pokrywa się z granicą obszaru specjalnej ochrony ptaków Bieszczady),</w:t>
      </w:r>
    </w:p>
    <w:p w:rsidR="0094273C" w:rsidRPr="0094273C" w:rsidRDefault="0094273C" w:rsidP="006E6138">
      <w:pPr>
        <w:numPr>
          <w:ilvl w:val="0"/>
          <w:numId w:val="91"/>
        </w:numPr>
        <w:spacing w:after="0"/>
        <w:ind w:hanging="294"/>
      </w:pPr>
      <w:r w:rsidRPr="0094273C">
        <w:t>1411 pomników przyrody</w:t>
      </w:r>
      <w:r w:rsidRPr="0094273C">
        <w:rPr>
          <w:rFonts w:eastAsia="Calibri"/>
        </w:rPr>
        <w:t>,</w:t>
      </w:r>
    </w:p>
    <w:p w:rsidR="0094273C" w:rsidRPr="0094273C" w:rsidRDefault="0094273C" w:rsidP="006E6138">
      <w:pPr>
        <w:numPr>
          <w:ilvl w:val="0"/>
          <w:numId w:val="91"/>
        </w:numPr>
        <w:spacing w:after="0"/>
        <w:ind w:hanging="294"/>
      </w:pPr>
      <w:r w:rsidRPr="0094273C">
        <w:t xml:space="preserve">427 użytków ekologicznych, </w:t>
      </w:r>
    </w:p>
    <w:p w:rsidR="0094273C" w:rsidRPr="0094273C" w:rsidRDefault="0094273C" w:rsidP="006E6138">
      <w:pPr>
        <w:numPr>
          <w:ilvl w:val="0"/>
          <w:numId w:val="91"/>
        </w:numPr>
        <w:spacing w:after="0"/>
        <w:ind w:hanging="294"/>
      </w:pPr>
      <w:r w:rsidRPr="0094273C">
        <w:t xml:space="preserve">27 stanowisk dokumentacyjnych, </w:t>
      </w:r>
    </w:p>
    <w:p w:rsidR="0094273C" w:rsidRPr="0094273C" w:rsidRDefault="0094273C" w:rsidP="006E6138">
      <w:pPr>
        <w:numPr>
          <w:ilvl w:val="0"/>
          <w:numId w:val="91"/>
        </w:numPr>
        <w:spacing w:after="0"/>
        <w:ind w:hanging="294"/>
      </w:pPr>
      <w:r w:rsidRPr="0094273C">
        <w:t>10 zespołów przyrodniczo-krajobrazowych.</w:t>
      </w:r>
    </w:p>
    <w:p w:rsidR="0094273C" w:rsidRPr="0094273C" w:rsidRDefault="0094273C" w:rsidP="004D673E">
      <w:pPr>
        <w:pStyle w:val="Nagwek4"/>
      </w:pPr>
      <w:bookmarkStart w:id="224" w:name="_Toc349130298"/>
      <w:bookmarkStart w:id="225" w:name="_Toc359241679"/>
      <w:bookmarkStart w:id="226" w:name="_Toc378314182"/>
      <w:bookmarkStart w:id="227" w:name="_Toc378314397"/>
      <w:bookmarkStart w:id="228" w:name="_Toc384300317"/>
      <w:bookmarkStart w:id="229" w:name="_Toc397925202"/>
      <w:bookmarkStart w:id="230" w:name="_Toc397925560"/>
      <w:r w:rsidRPr="0094273C">
        <w:t xml:space="preserve">Problemy ochrony środowiska istotne z punktu widzenia projektu </w:t>
      </w:r>
      <w:bookmarkEnd w:id="224"/>
      <w:bookmarkEnd w:id="225"/>
      <w:r w:rsidRPr="0094273C">
        <w:t>RPO</w:t>
      </w:r>
      <w:bookmarkEnd w:id="226"/>
      <w:bookmarkEnd w:id="227"/>
      <w:bookmarkEnd w:id="228"/>
      <w:bookmarkEnd w:id="229"/>
      <w:bookmarkEnd w:id="230"/>
    </w:p>
    <w:p w:rsidR="0094273C" w:rsidRPr="0094273C" w:rsidRDefault="0094273C" w:rsidP="004D673E">
      <w:pPr>
        <w:ind w:firstLine="567"/>
        <w:rPr>
          <w:rFonts w:eastAsia="Calibri"/>
        </w:rPr>
      </w:pPr>
      <w:r w:rsidRPr="0094273C">
        <w:rPr>
          <w:rFonts w:eastAsia="Calibri"/>
        </w:rPr>
        <w:t>Zakres interwencji RPO obejmuje także działania z zakresu ochrony środowiska naturalnego i wspierania efektywności wykorzystywania zasobów, dostosowania do zmian klimatu, budowy podstaw gospodarki niskoemisyjnej oraz wewnątrz regionalnej dostępności transportowej.</w:t>
      </w:r>
    </w:p>
    <w:p w:rsidR="0094273C" w:rsidRPr="0094273C" w:rsidRDefault="0094273C" w:rsidP="004D673E">
      <w:pPr>
        <w:ind w:firstLine="567"/>
      </w:pPr>
      <w:r w:rsidRPr="0094273C">
        <w:lastRenderedPageBreak/>
        <w:t>W Prognozie zidentyfikowano problemy występujące na terenie województwa, w tym problemy środowiskowe, istotne z punktu widzenia RPO. Należą do nich m.in.:</w:t>
      </w:r>
    </w:p>
    <w:p w:rsidR="0094273C" w:rsidRPr="0094273C" w:rsidRDefault="0094273C" w:rsidP="006E6138">
      <w:pPr>
        <w:numPr>
          <w:ilvl w:val="0"/>
          <w:numId w:val="112"/>
        </w:numPr>
        <w:spacing w:after="0"/>
        <w:ind w:hanging="294"/>
      </w:pPr>
      <w:r w:rsidRPr="0094273C">
        <w:t>Pogodzenie przebiegu sieci infrastrukturalnych (np. drogi, kolej, linie elektroenergetyczne) czy lokalizacji m.in. polderów, zbiorników retencyjnych z siecią obszarów objętych ochroną na podstawie ustawy o ochronie przyrody.</w:t>
      </w:r>
    </w:p>
    <w:p w:rsidR="0094273C" w:rsidRPr="0094273C" w:rsidRDefault="0094273C" w:rsidP="006E6138">
      <w:pPr>
        <w:numPr>
          <w:ilvl w:val="0"/>
          <w:numId w:val="112"/>
        </w:numPr>
        <w:spacing w:after="0"/>
        <w:ind w:hanging="294"/>
      </w:pPr>
      <w:r w:rsidRPr="0094273C">
        <w:t>Intensywnie postępująca antropogenizacja środowiska naturalnego, szczególnie dotyczy to zabudowy na terenach zalewowych i osuwiskowych.</w:t>
      </w:r>
    </w:p>
    <w:p w:rsidR="0094273C" w:rsidRPr="0094273C" w:rsidRDefault="0094273C" w:rsidP="006E6138">
      <w:pPr>
        <w:numPr>
          <w:ilvl w:val="0"/>
          <w:numId w:val="112"/>
        </w:numPr>
        <w:spacing w:after="0"/>
        <w:ind w:hanging="294"/>
      </w:pPr>
      <w:r w:rsidRPr="0094273C">
        <w:t xml:space="preserve">Agresywna antropopresja na poszczególne elementy środowiska przyrodniczego, m.in.: postępująca urbanizacja i zajmowanie przez ludzi terenów będących naturalnymi siedliskami zwierząt, roślin oraz grzybów, zanieczyszczenie poszczególnych elementów środowiska, niekorzystna zmiana sposobów użytkowania ziemi i przekształcania dolin rzecznych. </w:t>
      </w:r>
    </w:p>
    <w:p w:rsidR="0094273C" w:rsidRPr="0094273C" w:rsidRDefault="0094273C" w:rsidP="006E6138">
      <w:pPr>
        <w:numPr>
          <w:ilvl w:val="0"/>
          <w:numId w:val="112"/>
        </w:numPr>
        <w:spacing w:after="0"/>
        <w:ind w:hanging="294"/>
      </w:pPr>
      <w:r w:rsidRPr="0094273C">
        <w:t>Przekroczenie standardów imisyjnych pyłów PM10 i PM2,5 oraz poziomu docelowego benzo(a)pirenu w pyle PM10.</w:t>
      </w:r>
    </w:p>
    <w:p w:rsidR="0094273C" w:rsidRPr="0094273C" w:rsidRDefault="0094273C" w:rsidP="006E6138">
      <w:pPr>
        <w:numPr>
          <w:ilvl w:val="0"/>
          <w:numId w:val="112"/>
        </w:numPr>
        <w:spacing w:after="0"/>
        <w:ind w:hanging="294"/>
      </w:pPr>
      <w:r w:rsidRPr="0094273C">
        <w:t>Narastający ruch samochodowy, intensyfikujący liniową emisję zanieczyszczeń do powietrza, a także powierzchniową w rejonie większych miast.</w:t>
      </w:r>
    </w:p>
    <w:p w:rsidR="0094273C" w:rsidRPr="0094273C" w:rsidRDefault="0094273C" w:rsidP="006E6138">
      <w:pPr>
        <w:numPr>
          <w:ilvl w:val="0"/>
          <w:numId w:val="112"/>
        </w:numPr>
        <w:spacing w:after="0"/>
        <w:ind w:hanging="294"/>
      </w:pPr>
      <w:r w:rsidRPr="0094273C">
        <w:t xml:space="preserve">Niski poziom retencji wód powierzchniowych, brak dużych i małych zbiorników retencyjnych oraz polderów, zły stan zabudowy regulacyjnej rzek. </w:t>
      </w:r>
    </w:p>
    <w:p w:rsidR="0094273C" w:rsidRPr="0094273C" w:rsidRDefault="0094273C" w:rsidP="006E6138">
      <w:pPr>
        <w:numPr>
          <w:ilvl w:val="0"/>
          <w:numId w:val="112"/>
        </w:numPr>
        <w:spacing w:after="0"/>
        <w:ind w:hanging="294"/>
      </w:pPr>
      <w:r w:rsidRPr="0094273C">
        <w:t>Niekorzystny układ w gospodarce wodno-ściekowej, polegający na znacznym dostępie ludności do systemu wodociągowego, przy słabym rozwoju sieci kanalizacyjnej.</w:t>
      </w:r>
    </w:p>
    <w:p w:rsidR="0094273C" w:rsidRPr="0094273C" w:rsidRDefault="0094273C" w:rsidP="006E6138">
      <w:pPr>
        <w:numPr>
          <w:ilvl w:val="0"/>
          <w:numId w:val="112"/>
        </w:numPr>
        <w:spacing w:after="0"/>
        <w:ind w:hanging="294"/>
      </w:pPr>
      <w:r w:rsidRPr="0094273C">
        <w:t>Niezadowalający stan techniczny infrastruktury przeciwpowodziowej.</w:t>
      </w:r>
    </w:p>
    <w:p w:rsidR="0094273C" w:rsidRPr="0094273C" w:rsidRDefault="0094273C" w:rsidP="006E6138">
      <w:pPr>
        <w:numPr>
          <w:ilvl w:val="0"/>
          <w:numId w:val="112"/>
        </w:numPr>
        <w:spacing w:after="0"/>
        <w:ind w:hanging="294"/>
      </w:pPr>
      <w:r w:rsidRPr="0094273C">
        <w:t>Występowanie obszarów zdegradowanych w wielu miastach województwa oraz ich obszarach funkcjonalnych, które wymagają rekultywacji i stworzenia warunków do ich ponownego zagospodarowania.</w:t>
      </w:r>
    </w:p>
    <w:p w:rsidR="0094273C" w:rsidRPr="0094273C" w:rsidRDefault="0094273C" w:rsidP="006E6138">
      <w:pPr>
        <w:numPr>
          <w:ilvl w:val="0"/>
          <w:numId w:val="112"/>
        </w:numPr>
        <w:spacing w:after="0"/>
        <w:ind w:hanging="294"/>
      </w:pPr>
      <w:r w:rsidRPr="0094273C">
        <w:t>Stosunkowo duży procent powierzchni województwa narażony na występowanie powodzi oraz osuwisk.</w:t>
      </w:r>
    </w:p>
    <w:p w:rsidR="0094273C" w:rsidRPr="0094273C" w:rsidRDefault="0094273C" w:rsidP="006E6138">
      <w:pPr>
        <w:numPr>
          <w:ilvl w:val="0"/>
          <w:numId w:val="112"/>
        </w:numPr>
        <w:spacing w:after="0"/>
        <w:ind w:hanging="294"/>
      </w:pPr>
      <w:r w:rsidRPr="0094273C">
        <w:t>Problem nadmiaru wody podczas obfitych opadów i śnieżnych roztopów oraz problem jej deficytu w czasie długotrwałej suszy.</w:t>
      </w:r>
    </w:p>
    <w:p w:rsidR="0094273C" w:rsidRPr="0094273C" w:rsidRDefault="0094273C" w:rsidP="006E6138">
      <w:pPr>
        <w:numPr>
          <w:ilvl w:val="0"/>
          <w:numId w:val="112"/>
        </w:numPr>
        <w:spacing w:after="0"/>
        <w:ind w:hanging="294"/>
      </w:pPr>
      <w:r w:rsidRPr="0094273C">
        <w:t>Znaczny potencjał do wytwarzania energii ze źródeł odnawialnych (energetyka wodna, wiatrowa, wykorzystująca biomasę, przetwarzanie odpadów, biogazownie, energię słoneczną i geotermalną), ale też duża ilość obszarów chronionych na podstawie ustawy o ochronie przyrody – możliwe konflikty interesów.</w:t>
      </w:r>
    </w:p>
    <w:p w:rsidR="0094273C" w:rsidRPr="0094273C" w:rsidRDefault="0094273C" w:rsidP="006E6138">
      <w:pPr>
        <w:numPr>
          <w:ilvl w:val="0"/>
          <w:numId w:val="112"/>
        </w:numPr>
        <w:spacing w:after="0"/>
        <w:ind w:hanging="294"/>
      </w:pPr>
      <w:r w:rsidRPr="0094273C">
        <w:t>Wiele zabytków wymaga gruntownych prac remontowo-konserwatorskich, m.in. założenia dworskie, zabytki przemysłu, techniki i sztuki inżynierskiej, nieużytkowane cerkwie.</w:t>
      </w:r>
    </w:p>
    <w:p w:rsidR="0094273C" w:rsidRPr="0094273C" w:rsidRDefault="0094273C" w:rsidP="006E6138">
      <w:pPr>
        <w:numPr>
          <w:ilvl w:val="0"/>
          <w:numId w:val="112"/>
        </w:numPr>
        <w:spacing w:after="0"/>
        <w:ind w:hanging="294"/>
      </w:pPr>
      <w:r w:rsidRPr="0094273C">
        <w:rPr>
          <w:bCs/>
        </w:rPr>
        <w:t>Wzrastająca emisja hałasu komunikacyjnego.</w:t>
      </w:r>
    </w:p>
    <w:p w:rsidR="0094273C" w:rsidRPr="0094273C" w:rsidRDefault="0094273C" w:rsidP="004D673E">
      <w:pPr>
        <w:ind w:firstLine="567"/>
      </w:pPr>
      <w:r w:rsidRPr="0094273C">
        <w:t xml:space="preserve">Problemy ochrony środowiska i sytuacje konfliktowe związane są przede wszystkim z presją zagospodarowania przestrzennego oraz różnych form działalności antropogenicznej na obszary chronione i obszary ważne ekologicznie, nie objęte ochroną prawną. </w:t>
      </w:r>
    </w:p>
    <w:p w:rsidR="0094273C" w:rsidRPr="0094273C" w:rsidRDefault="0094273C" w:rsidP="004D673E">
      <w:pPr>
        <w:pStyle w:val="Nagwek3"/>
      </w:pPr>
      <w:bookmarkStart w:id="231" w:name="_Toc349130299"/>
      <w:bookmarkStart w:id="232" w:name="_Toc359241680"/>
      <w:bookmarkStart w:id="233" w:name="_Toc378314183"/>
      <w:bookmarkStart w:id="234" w:name="_Toc378314398"/>
      <w:bookmarkStart w:id="235" w:name="_Toc384300318"/>
      <w:bookmarkStart w:id="236" w:name="_Toc397925203"/>
      <w:bookmarkStart w:id="237" w:name="_Toc397925561"/>
      <w:r w:rsidRPr="0094273C">
        <w:lastRenderedPageBreak/>
        <w:t>Cele ochrony środowiska ustanowione na szczeblu międzynarodowym, wspólnotowym i krajowym, istotne z punktu widzenia projektu RPO oraz sposoby, w jakich te cele i inne problemy środowiska zostały uwzględnione podczas opracowywania dokumen</w:t>
      </w:r>
      <w:bookmarkEnd w:id="231"/>
      <w:bookmarkEnd w:id="232"/>
      <w:r w:rsidRPr="0094273C">
        <w:t>tu</w:t>
      </w:r>
      <w:bookmarkEnd w:id="233"/>
      <w:bookmarkEnd w:id="234"/>
      <w:bookmarkEnd w:id="235"/>
      <w:bookmarkEnd w:id="236"/>
      <w:bookmarkEnd w:id="237"/>
    </w:p>
    <w:p w:rsidR="0094273C" w:rsidRPr="0094273C" w:rsidRDefault="0094273C" w:rsidP="004D673E">
      <w:pPr>
        <w:ind w:firstLine="567"/>
      </w:pPr>
      <w:r w:rsidRPr="0094273C">
        <w:t>Cele polityki ochrony środowiska na szczeblu wspólnotowym zostały określone w wielu dokumentach strategicznych, które stanowią ramy dla dokumentów krajowych i regionalnych. Cechą charakterystyczną tych dokumentów jest obligatoryjna lub zalecana hierarchiczność ich ustaleń i zapisów.</w:t>
      </w:r>
    </w:p>
    <w:p w:rsidR="0094273C" w:rsidRPr="0094273C" w:rsidRDefault="0094273C" w:rsidP="004D673E">
      <w:pPr>
        <w:ind w:firstLine="567"/>
      </w:pPr>
      <w:r w:rsidRPr="0094273C">
        <w:t>Istotne z punktu widzenia projektu RPO międzynarodowe cele ochrony środowiska zawarte są w ratyfikowanych przez Polskę konwencjach międzynarodowych, m.in. w: Konwencji Berneńskiej o ochronie dzikiej flory i fauny europejskiej oraz ich siedlisk naturalnych, Konwencji o ochronie różnorodności biologicznej z Rio de Janeiro, Europejskiej Konwencji Krajobrazowej, Ramowej Konwencji o zrównoważonym rozwoju Karpat, Ramowej Konwencji Narodów Zjednoczonych w sprawie zmian klimatu, Konwencji Genewskiej w sprawie transgranicznego zanieczyszczania powietrza na dalekie odległości, Konwencji Wiedeńskiej w sprawie ochrony warstwy ozonowej, Konwencji o dostępie do informacji, udziale społeczeństwa w podejmowaniu decyzji oraz dostępie do sprawiedliwości w sprawach dotyczących środowiska.</w:t>
      </w:r>
    </w:p>
    <w:p w:rsidR="0094273C" w:rsidRPr="0094273C" w:rsidRDefault="0094273C" w:rsidP="004D673E">
      <w:pPr>
        <w:ind w:firstLine="567"/>
      </w:pPr>
      <w:r w:rsidRPr="0094273C">
        <w:t>Podstawowe, wspólnotowe cele polityki ochrony środowiska zostały określone w </w:t>
      </w:r>
      <w:r w:rsidRPr="0094273C">
        <w:rPr>
          <w:b/>
        </w:rPr>
        <w:t>Traktacie o funkcjonowaniu Unii Europejskiej</w:t>
      </w:r>
      <w:r w:rsidRPr="0094273C">
        <w:t>. W Traktacie zostały również określone podstawowe zasady wspólnotowej polityki w dziedzinie ochrony środowiska.</w:t>
      </w:r>
    </w:p>
    <w:p w:rsidR="0094273C" w:rsidRPr="0094273C" w:rsidRDefault="0094273C" w:rsidP="004D673E">
      <w:pPr>
        <w:ind w:firstLine="567"/>
      </w:pPr>
      <w:r w:rsidRPr="0094273C">
        <w:t xml:space="preserve">Podstawowym dokumentem operacyjnym UE w dziedzinie ochrony środowiska jest </w:t>
      </w:r>
      <w:r w:rsidRPr="0094273C">
        <w:rPr>
          <w:b/>
        </w:rPr>
        <w:t>Szósty Wspólnotowy Program Działań Unii Europejskiej w dziedzinie środowiska</w:t>
      </w:r>
      <w:r w:rsidRPr="0094273C">
        <w:t>.</w:t>
      </w:r>
    </w:p>
    <w:p w:rsidR="0094273C" w:rsidRPr="0094273C" w:rsidRDefault="0094273C" w:rsidP="004D673E">
      <w:pPr>
        <w:ind w:firstLine="567"/>
      </w:pPr>
      <w:r w:rsidRPr="0094273C">
        <w:t xml:space="preserve">Cele ekologiczne ustanowione na szczeblu krajowym uwzględniające cele i priorytety międzynarodowe i wspólnotowe zawarte są przede wszystkim w  </w:t>
      </w:r>
      <w:r w:rsidRPr="0094273C">
        <w:rPr>
          <w:b/>
        </w:rPr>
        <w:t xml:space="preserve">Polityce ekologicznej </w:t>
      </w:r>
      <w:r w:rsidRPr="0094273C">
        <w:rPr>
          <w:b/>
          <w:bCs/>
        </w:rPr>
        <w:t>państwa 2009-2012 z perspektywą do roku 2016</w:t>
      </w:r>
      <w:r w:rsidRPr="0094273C">
        <w:rPr>
          <w:bCs/>
        </w:rPr>
        <w:t xml:space="preserve">. </w:t>
      </w:r>
      <w:r w:rsidRPr="0094273C">
        <w:t>Polityka ekologiczna państwa wskazuje na konieczność zmian systemowych i określa główne cele strategiczne do roku 2016, którymi są m.in.:</w:t>
      </w:r>
    </w:p>
    <w:p w:rsidR="0094273C" w:rsidRPr="0094273C" w:rsidRDefault="0094273C" w:rsidP="006E6138">
      <w:pPr>
        <w:numPr>
          <w:ilvl w:val="0"/>
          <w:numId w:val="92"/>
        </w:numPr>
        <w:spacing w:after="0"/>
        <w:ind w:hanging="294"/>
      </w:pPr>
      <w:r w:rsidRPr="0094273C">
        <w:rPr>
          <w:bCs/>
        </w:rPr>
        <w:t>uwzgl</w:t>
      </w:r>
      <w:r w:rsidRPr="0094273C">
        <w:rPr>
          <w:rFonts w:eastAsia="Arial,Bold"/>
          <w:bCs/>
        </w:rPr>
        <w:t>ę</w:t>
      </w:r>
      <w:r w:rsidRPr="0094273C">
        <w:rPr>
          <w:bCs/>
        </w:rPr>
        <w:t xml:space="preserve">dnienie zasad ochrony </w:t>
      </w:r>
      <w:r w:rsidRPr="0094273C">
        <w:rPr>
          <w:rFonts w:eastAsia="Arial,Bold"/>
          <w:bCs/>
        </w:rPr>
        <w:t>ś</w:t>
      </w:r>
      <w:r w:rsidRPr="0094273C">
        <w:rPr>
          <w:bCs/>
        </w:rPr>
        <w:t>rodowiska w strategiach sektorowych</w:t>
      </w:r>
      <w:r w:rsidRPr="0094273C">
        <w:rPr>
          <w:b/>
          <w:bCs/>
        </w:rPr>
        <w:t xml:space="preserve"> </w:t>
      </w:r>
      <w:r w:rsidRPr="0094273C">
        <w:t>(uwzględnianie wyników strategicznej oceny oddziaływania na środowisko w ostatecznych wersjach tych dokumentów),</w:t>
      </w:r>
    </w:p>
    <w:p w:rsidR="0094273C" w:rsidRPr="0094273C" w:rsidRDefault="0094273C" w:rsidP="006E6138">
      <w:pPr>
        <w:numPr>
          <w:ilvl w:val="0"/>
          <w:numId w:val="92"/>
        </w:numPr>
        <w:spacing w:after="0"/>
        <w:ind w:hanging="294"/>
      </w:pPr>
      <w:r w:rsidRPr="0094273C">
        <w:rPr>
          <w:bCs/>
        </w:rPr>
        <w:t xml:space="preserve">aktywizacja rynku na rzecz ochrony </w:t>
      </w:r>
      <w:r w:rsidRPr="0094273C">
        <w:rPr>
          <w:rFonts w:eastAsia="Arial,Bold"/>
          <w:bCs/>
        </w:rPr>
        <w:t>ś</w:t>
      </w:r>
      <w:r w:rsidRPr="0094273C">
        <w:rPr>
          <w:bCs/>
        </w:rPr>
        <w:t>rodowiska</w:t>
      </w:r>
      <w:r w:rsidRPr="0094273C">
        <w:t>,</w:t>
      </w:r>
    </w:p>
    <w:p w:rsidR="0094273C" w:rsidRPr="0094273C" w:rsidRDefault="0094273C" w:rsidP="006E6138">
      <w:pPr>
        <w:numPr>
          <w:ilvl w:val="0"/>
          <w:numId w:val="92"/>
        </w:numPr>
        <w:spacing w:after="0"/>
        <w:ind w:hanging="294"/>
      </w:pPr>
      <w:r w:rsidRPr="0094273C">
        <w:rPr>
          <w:bCs/>
        </w:rPr>
        <w:t>udział społecze</w:t>
      </w:r>
      <w:r w:rsidRPr="0094273C">
        <w:rPr>
          <w:rFonts w:eastAsia="Arial,Bold"/>
          <w:bCs/>
        </w:rPr>
        <w:t>ń</w:t>
      </w:r>
      <w:r w:rsidRPr="0094273C">
        <w:rPr>
          <w:bCs/>
        </w:rPr>
        <w:t xml:space="preserve">stwa w działaniach na rzecz ochrony </w:t>
      </w:r>
      <w:r w:rsidRPr="0094273C">
        <w:rPr>
          <w:rFonts w:eastAsia="Arial,Bold"/>
          <w:bCs/>
        </w:rPr>
        <w:t>ś</w:t>
      </w:r>
      <w:r w:rsidRPr="0094273C">
        <w:rPr>
          <w:bCs/>
        </w:rPr>
        <w:t>rodowiska</w:t>
      </w:r>
      <w:r w:rsidRPr="0094273C">
        <w:t>,</w:t>
      </w:r>
    </w:p>
    <w:p w:rsidR="0094273C" w:rsidRPr="0094273C" w:rsidRDefault="0094273C" w:rsidP="006E6138">
      <w:pPr>
        <w:numPr>
          <w:ilvl w:val="0"/>
          <w:numId w:val="92"/>
        </w:numPr>
        <w:spacing w:after="0"/>
        <w:ind w:hanging="294"/>
      </w:pPr>
      <w:r w:rsidRPr="0094273C">
        <w:rPr>
          <w:bCs/>
        </w:rPr>
        <w:t>rozwój bada</w:t>
      </w:r>
      <w:r w:rsidRPr="0094273C">
        <w:rPr>
          <w:rFonts w:eastAsia="Arial,Bold"/>
          <w:bCs/>
        </w:rPr>
        <w:t xml:space="preserve">ń </w:t>
      </w:r>
      <w:r w:rsidRPr="0094273C">
        <w:rPr>
          <w:bCs/>
        </w:rPr>
        <w:t>i post</w:t>
      </w:r>
      <w:r w:rsidRPr="0094273C">
        <w:rPr>
          <w:rFonts w:eastAsia="Arial,Bold"/>
          <w:bCs/>
        </w:rPr>
        <w:t>ę</w:t>
      </w:r>
      <w:r w:rsidRPr="0094273C">
        <w:rPr>
          <w:bCs/>
        </w:rPr>
        <w:t>p techniczny</w:t>
      </w:r>
      <w:r w:rsidRPr="0094273C">
        <w:t>,</w:t>
      </w:r>
    </w:p>
    <w:p w:rsidR="0094273C" w:rsidRPr="0094273C" w:rsidRDefault="0094273C" w:rsidP="006E6138">
      <w:pPr>
        <w:numPr>
          <w:ilvl w:val="0"/>
          <w:numId w:val="93"/>
        </w:numPr>
        <w:autoSpaceDE w:val="0"/>
        <w:autoSpaceDN w:val="0"/>
        <w:adjustRightInd w:val="0"/>
        <w:spacing w:after="0"/>
        <w:ind w:hanging="294"/>
      </w:pPr>
      <w:r w:rsidRPr="0094273C">
        <w:rPr>
          <w:bCs/>
        </w:rPr>
        <w:t>odpowiedzialno</w:t>
      </w:r>
      <w:r w:rsidRPr="0094273C">
        <w:rPr>
          <w:rFonts w:eastAsia="Arial,Bold"/>
          <w:bCs/>
        </w:rPr>
        <w:t xml:space="preserve">ść </w:t>
      </w:r>
      <w:r w:rsidRPr="0094273C">
        <w:rPr>
          <w:bCs/>
        </w:rPr>
        <w:t>za szkody w </w:t>
      </w:r>
      <w:r w:rsidRPr="0094273C">
        <w:rPr>
          <w:rFonts w:eastAsia="Arial,Bold"/>
          <w:bCs/>
        </w:rPr>
        <w:t>ś</w:t>
      </w:r>
      <w:r w:rsidRPr="0094273C">
        <w:rPr>
          <w:bCs/>
        </w:rPr>
        <w:t>rodowisku</w:t>
      </w:r>
      <w:r w:rsidRPr="0094273C">
        <w:t>,</w:t>
      </w:r>
    </w:p>
    <w:p w:rsidR="0094273C" w:rsidRPr="0094273C" w:rsidRDefault="0094273C" w:rsidP="006E6138">
      <w:pPr>
        <w:numPr>
          <w:ilvl w:val="0"/>
          <w:numId w:val="93"/>
        </w:numPr>
        <w:autoSpaceDE w:val="0"/>
        <w:autoSpaceDN w:val="0"/>
        <w:adjustRightInd w:val="0"/>
        <w:spacing w:after="0"/>
        <w:ind w:hanging="294"/>
      </w:pPr>
      <w:r w:rsidRPr="0094273C">
        <w:rPr>
          <w:bCs/>
        </w:rPr>
        <w:t>aspekt ekologiczny w planowaniu przestrzennym</w:t>
      </w:r>
      <w:r w:rsidRPr="0094273C">
        <w:t xml:space="preserve">. </w:t>
      </w:r>
    </w:p>
    <w:p w:rsidR="0094273C" w:rsidRPr="0094273C" w:rsidRDefault="0094273C" w:rsidP="004D673E">
      <w:pPr>
        <w:ind w:firstLine="567"/>
        <w:rPr>
          <w:b/>
        </w:rPr>
      </w:pPr>
      <w:r w:rsidRPr="0094273C">
        <w:rPr>
          <w:b/>
        </w:rPr>
        <w:t xml:space="preserve">W dziedzinie ochrony zasobów naturalnych głównym celem polityki ekologicznej do 2016 r. jest m.in.: </w:t>
      </w:r>
    </w:p>
    <w:p w:rsidR="0094273C" w:rsidRPr="0094273C" w:rsidRDefault="0094273C" w:rsidP="006E6138">
      <w:pPr>
        <w:numPr>
          <w:ilvl w:val="0"/>
          <w:numId w:val="94"/>
        </w:numPr>
        <w:spacing w:after="0"/>
        <w:ind w:hanging="294"/>
      </w:pPr>
      <w:r w:rsidRPr="0094273C">
        <w:t xml:space="preserve">zachowanie bogatej różnorodności biologicznej polskiej przyrody na różnych poziomach organizacji: na poziomie wewnątrzgatunkowym (genetycznym), gatunkowym oraz ponadgatunkowym (ekosystemowym), wraz z umożliwieniem zrównoważonego rozwoju </w:t>
      </w:r>
      <w:r w:rsidRPr="0094273C">
        <w:lastRenderedPageBreak/>
        <w:t>gospodarczego kraju, który w sposób niekonfliktowy współistnieje z różnorodnością biologiczną,</w:t>
      </w:r>
    </w:p>
    <w:p w:rsidR="0094273C" w:rsidRPr="0094273C" w:rsidRDefault="0094273C" w:rsidP="006E6138">
      <w:pPr>
        <w:numPr>
          <w:ilvl w:val="0"/>
          <w:numId w:val="94"/>
        </w:numPr>
        <w:spacing w:after="0"/>
        <w:ind w:hanging="294"/>
      </w:pPr>
      <w:r w:rsidRPr="0094273C">
        <w:t>racjonalizacja gospodarowania zasobami wód powierzchniowych i podziemnych w taki sposób, aby uchronić gospodarkę narodową od deficytów wody i zabezpieczyć przed skutkami powodzi oraz zwiększenie samofinansowania gospodarki wodnej.</w:t>
      </w:r>
    </w:p>
    <w:p w:rsidR="0094273C" w:rsidRPr="0094273C" w:rsidRDefault="0094273C" w:rsidP="004D673E">
      <w:pPr>
        <w:ind w:firstLine="567"/>
        <w:rPr>
          <w:b/>
        </w:rPr>
      </w:pPr>
      <w:r w:rsidRPr="0094273C">
        <w:rPr>
          <w:b/>
        </w:rPr>
        <w:t>Główne cele ekologiczne do roku 2016 w zakresie poprawy jakości środowiska i bezpieczeństwa ekologicznego to:</w:t>
      </w:r>
    </w:p>
    <w:p w:rsidR="0094273C" w:rsidRPr="0094273C" w:rsidRDefault="0094273C" w:rsidP="006E6138">
      <w:pPr>
        <w:numPr>
          <w:ilvl w:val="0"/>
          <w:numId w:val="95"/>
        </w:numPr>
        <w:spacing w:after="0"/>
        <w:ind w:hanging="294"/>
      </w:pPr>
      <w:r w:rsidRPr="0094273C">
        <w:t>poprawa stanu zdrowotnego mieszkańców w wyniku wspólnych działań sektora ochrony środowiska z sektorem zdrowia oraz skuteczny nadzór nad wszystkimi w kraju instalacjami będącymi potencjalnymi źródłami awarii przemysłowych powodujących zanieczyszczenie środowiska,</w:t>
      </w:r>
    </w:p>
    <w:p w:rsidR="0094273C" w:rsidRPr="0094273C" w:rsidRDefault="0094273C" w:rsidP="006E6138">
      <w:pPr>
        <w:numPr>
          <w:ilvl w:val="0"/>
          <w:numId w:val="95"/>
        </w:numPr>
        <w:spacing w:after="0"/>
        <w:ind w:hanging="294"/>
      </w:pPr>
      <w:r w:rsidRPr="0094273C">
        <w:t>zakończenie do końca 2015 r. krajowego programu budowy oczyszczalni ścieków i sieci kanalizacyjnych dla wszystkich aglomeracji powyżej 2 000 RLM, oraz zapewnienie 75 % redukcji całkowitego ładunku azotu i fosforu w ściekach komunalnych,</w:t>
      </w:r>
    </w:p>
    <w:p w:rsidR="0094273C" w:rsidRPr="0094273C" w:rsidRDefault="0094273C" w:rsidP="006E6138">
      <w:pPr>
        <w:numPr>
          <w:ilvl w:val="0"/>
          <w:numId w:val="95"/>
        </w:numPr>
        <w:spacing w:after="0"/>
        <w:ind w:hanging="294"/>
      </w:pPr>
      <w:r w:rsidRPr="0094273C">
        <w:t>budowa systemu gospodarki odpadami, utrzymanie tendencji oddzielenia ilości wytwarzanych odpadów od wzrostu gospodarczego kraju, oraz znaczne zwiększenie odzysku energii z odpadów komunalnych w sposób bezpieczny dla środowiska,</w:t>
      </w:r>
    </w:p>
    <w:p w:rsidR="0094273C" w:rsidRPr="0094273C" w:rsidRDefault="0094273C" w:rsidP="006E6138">
      <w:pPr>
        <w:numPr>
          <w:ilvl w:val="0"/>
          <w:numId w:val="95"/>
        </w:numPr>
        <w:spacing w:after="0"/>
        <w:ind w:hanging="294"/>
      </w:pPr>
      <w:r w:rsidRPr="0094273C">
        <w:t>ochrona przed ponadnormatywnym działaniem hałasu i promieniowania elektromagnetycznego.</w:t>
      </w:r>
    </w:p>
    <w:p w:rsidR="0094273C" w:rsidRPr="0094273C" w:rsidRDefault="0094273C" w:rsidP="004D673E">
      <w:pPr>
        <w:ind w:firstLine="567"/>
      </w:pPr>
      <w:r w:rsidRPr="0094273C">
        <w:t xml:space="preserve">Analiza projektu RPO wykazała zgodność z celami określonymi w ww. dokumentach krajowych, w szczególności dotyczącymi ochrony środowiska. </w:t>
      </w:r>
    </w:p>
    <w:p w:rsidR="0094273C" w:rsidRPr="0094273C" w:rsidRDefault="0094273C" w:rsidP="004D673E">
      <w:pPr>
        <w:ind w:firstLine="567"/>
      </w:pPr>
      <w:r w:rsidRPr="0094273C">
        <w:t xml:space="preserve">Cele ekologiczne w szczególności uwzględnione zostały poprzez określenie osi priorytetowej </w:t>
      </w:r>
      <w:r w:rsidRPr="0094273C">
        <w:rPr>
          <w:b/>
        </w:rPr>
        <w:t>III. Czysta energia</w:t>
      </w:r>
      <w:r w:rsidRPr="0094273C">
        <w:rPr>
          <w:b/>
          <w:i/>
        </w:rPr>
        <w:t>,</w:t>
      </w:r>
      <w:r w:rsidRPr="0094273C">
        <w:rPr>
          <w:i/>
        </w:rPr>
        <w:t xml:space="preserve"> </w:t>
      </w:r>
      <w:r w:rsidRPr="0094273C">
        <w:t xml:space="preserve">której celem jest: </w:t>
      </w:r>
      <w:r w:rsidRPr="0094273C">
        <w:rPr>
          <w:i/>
        </w:rPr>
        <w:t>Poprawa efektywności energetycznej oraz zwiększenie udziału odnawialnych źródeł energii</w:t>
      </w:r>
      <w:r w:rsidRPr="0094273C">
        <w:t xml:space="preserve"> oraz osi priorytetowej </w:t>
      </w:r>
      <w:r w:rsidRPr="0094273C">
        <w:rPr>
          <w:b/>
        </w:rPr>
        <w:t>IV. Ochrona środowiska naturalnego i dziedzictwa kulturowego</w:t>
      </w:r>
      <w:r w:rsidRPr="0094273C">
        <w:t xml:space="preserve">, której celem jest </w:t>
      </w:r>
      <w:r w:rsidRPr="0094273C">
        <w:rPr>
          <w:i/>
        </w:rPr>
        <w:t>O</w:t>
      </w:r>
      <w:r w:rsidRPr="0094273C">
        <w:t>c</w:t>
      </w:r>
      <w:r w:rsidRPr="0094273C">
        <w:rPr>
          <w:i/>
        </w:rPr>
        <w:t>hrona środowiska, zachowanie różnorodności biologicznej oraz wykorzystanie dziedzictwa kulturowego dla zwiększenia atrakcyjności regionu.</w:t>
      </w:r>
      <w:r w:rsidRPr="0094273C">
        <w:t xml:space="preserve"> Celom tych osi priorytetowych przyporządkowano szereg przewidzianych do wsparcia działań, mających na celu ochronę i poprawę środowiska w województwie, w odniesieniu do wszystkich komponentów środowiska oraz problemów środowiskowych.</w:t>
      </w:r>
    </w:p>
    <w:p w:rsidR="0094273C" w:rsidRPr="0094273C" w:rsidRDefault="0094273C" w:rsidP="004D673E">
      <w:pPr>
        <w:pStyle w:val="Nagwek3"/>
      </w:pPr>
      <w:bookmarkStart w:id="238" w:name="_Toc378314184"/>
      <w:bookmarkStart w:id="239" w:name="_Toc378314399"/>
      <w:bookmarkStart w:id="240" w:name="_Toc384300319"/>
      <w:bookmarkStart w:id="241" w:name="_Toc397925204"/>
      <w:bookmarkStart w:id="242" w:name="_Toc397925562"/>
      <w:bookmarkStart w:id="243" w:name="_Toc349130300"/>
      <w:bookmarkStart w:id="244" w:name="_Toc359241681"/>
      <w:r w:rsidRPr="0094273C">
        <w:t>Ocena oddziaływania skutków realizacji RPO na stan jednolitych części wód powierzchniowych i podziemnych objętych postanowieniami projektu RPO</w:t>
      </w:r>
      <w:bookmarkEnd w:id="238"/>
      <w:bookmarkEnd w:id="239"/>
      <w:bookmarkEnd w:id="240"/>
      <w:bookmarkEnd w:id="241"/>
      <w:bookmarkEnd w:id="242"/>
    </w:p>
    <w:p w:rsidR="0094273C" w:rsidRPr="0094273C" w:rsidRDefault="0094273C" w:rsidP="004D673E">
      <w:pPr>
        <w:ind w:firstLine="567"/>
      </w:pPr>
      <w:r w:rsidRPr="0094273C">
        <w:t xml:space="preserve">W projekcie RPO spośród 32 priorytetów inwestycyjnych ujętych w 9. osiach priorytetowych (z wyłączeniem priorytetu X. Pomoc techniczna) w 11 stwierdzono małoznaczący lub brak wpływu na stan jednolitych części wód powierzchniowych i podziemnych. </w:t>
      </w:r>
    </w:p>
    <w:p w:rsidR="0094273C" w:rsidRPr="0094273C" w:rsidRDefault="0094273C" w:rsidP="004D673E">
      <w:pPr>
        <w:autoSpaceDE w:val="0"/>
        <w:autoSpaceDN w:val="0"/>
        <w:adjustRightInd w:val="0"/>
        <w:ind w:firstLine="602"/>
        <w:rPr>
          <w:rFonts w:eastAsia="Calibri"/>
        </w:rPr>
      </w:pPr>
      <w:r w:rsidRPr="0094273C">
        <w:t xml:space="preserve">W wielu przypadkach odnotowano pośrednie, pozytywne oddziaływanie na stan wód powierzchniowych i podziemnych. Dotyczyły one m.in. ograniczenia emisji zanieczyszczeń do atmosfery, </w:t>
      </w:r>
      <w:r w:rsidRPr="0094273C">
        <w:rPr>
          <w:rFonts w:eastAsia="Calibri"/>
        </w:rPr>
        <w:t>promowania inwestycji innowacyjnych, wspierania bada</w:t>
      </w:r>
      <w:r w:rsidRPr="0094273C">
        <w:rPr>
          <w:rFonts w:eastAsia="TimesNewRoman"/>
        </w:rPr>
        <w:t xml:space="preserve">ń </w:t>
      </w:r>
      <w:r w:rsidRPr="0094273C">
        <w:rPr>
          <w:rFonts w:eastAsia="Calibri"/>
        </w:rPr>
        <w:t>technologicznych maj</w:t>
      </w:r>
      <w:r w:rsidRPr="0094273C">
        <w:rPr>
          <w:rFonts w:eastAsia="TimesNewRoman"/>
        </w:rPr>
        <w:t>ą</w:t>
      </w:r>
      <w:r w:rsidRPr="0094273C">
        <w:rPr>
          <w:rFonts w:eastAsia="Calibri"/>
        </w:rPr>
        <w:t>cych na celu ochron</w:t>
      </w:r>
      <w:r w:rsidRPr="0094273C">
        <w:rPr>
          <w:rFonts w:eastAsia="TimesNewRoman"/>
        </w:rPr>
        <w:t>ę ś</w:t>
      </w:r>
      <w:r w:rsidRPr="0094273C">
        <w:rPr>
          <w:rFonts w:eastAsia="Calibri"/>
        </w:rPr>
        <w:t xml:space="preserve">rodowiska, uporządkowania i rewitalizacji zdegradowanych przestrzeni publicznych. </w:t>
      </w:r>
    </w:p>
    <w:p w:rsidR="0094273C" w:rsidRPr="0094273C" w:rsidRDefault="0094273C" w:rsidP="004D673E">
      <w:pPr>
        <w:autoSpaceDE w:val="0"/>
        <w:autoSpaceDN w:val="0"/>
        <w:adjustRightInd w:val="0"/>
        <w:ind w:firstLine="602"/>
        <w:rPr>
          <w:rFonts w:eastAsia="Calibri"/>
        </w:rPr>
      </w:pPr>
      <w:r w:rsidRPr="0094273C">
        <w:rPr>
          <w:rFonts w:eastAsia="Calibri"/>
        </w:rPr>
        <w:t xml:space="preserve">Równie dużą grupę oddziaływań stanowią oddziaływania negatywne krótkotrwałe pojawiające się na etapie prowadzenia robót budowlanych, dotyczących zarówno budowy nowych obiektów </w:t>
      </w:r>
      <w:r w:rsidRPr="0094273C">
        <w:rPr>
          <w:rFonts w:eastAsia="Calibri"/>
        </w:rPr>
        <w:lastRenderedPageBreak/>
        <w:t>kubaturowych i liniowych jaki i ich modernizacji. Oddziaływania będą ustępować po zakończeniu procesu budowlanego.</w:t>
      </w:r>
    </w:p>
    <w:p w:rsidR="0094273C" w:rsidRPr="0094273C" w:rsidRDefault="0094273C" w:rsidP="004D673E">
      <w:pPr>
        <w:autoSpaceDE w:val="0"/>
        <w:autoSpaceDN w:val="0"/>
        <w:adjustRightInd w:val="0"/>
        <w:ind w:firstLine="602"/>
      </w:pPr>
      <w:r w:rsidRPr="0094273C">
        <w:rPr>
          <w:rFonts w:eastAsia="Calibri"/>
        </w:rPr>
        <w:t xml:space="preserve">Oddziaływania bezpośrednie pozytywne dotyczą przede wszystkim sektora gospodarki wodno-ściekowej </w:t>
      </w:r>
      <w:r w:rsidRPr="0094273C">
        <w:t>(np.: rozwoju systemów zaopatrzenia w wodę, systemów odbioru ścieków komunalnych, oczyszczalni ścieków, indywidualnych systemów oczyszczania ścieków)</w:t>
      </w:r>
      <w:r w:rsidRPr="0094273C">
        <w:rPr>
          <w:rFonts w:eastAsia="Calibri"/>
        </w:rPr>
        <w:t>, a także związane są z </w:t>
      </w:r>
      <w:r w:rsidRPr="0094273C">
        <w:t>funkcjonowaniem systemu wczesnego reagowania i ratownictwa, szczególnie w przypadku zagrożenia powodziowego.</w:t>
      </w:r>
    </w:p>
    <w:p w:rsidR="0094273C" w:rsidRPr="0094273C" w:rsidRDefault="0094273C" w:rsidP="004D673E">
      <w:pPr>
        <w:ind w:firstLine="567"/>
      </w:pPr>
      <w:r w:rsidRPr="0094273C">
        <w:t xml:space="preserve">Potencjalnie negatywne oddziaływania mogą wystąpić na etapie funkcjonowania przedsięwzięć komunikacyjnych (autostrady sieci dróg i sieci kolejowych), obiektów retencji. </w:t>
      </w:r>
    </w:p>
    <w:p w:rsidR="0094273C" w:rsidRPr="0094273C" w:rsidRDefault="0094273C" w:rsidP="004D673E">
      <w:pPr>
        <w:pStyle w:val="Nagwek4"/>
      </w:pPr>
      <w:bookmarkStart w:id="245" w:name="_Toc397925205"/>
      <w:bookmarkStart w:id="246" w:name="_Toc397925563"/>
      <w:r w:rsidRPr="0094273C">
        <w:t>Identyfikacja oddziaływania projektu RPO na cele środowiskowe określone dla jednolitych części wód</w:t>
      </w:r>
      <w:bookmarkEnd w:id="245"/>
      <w:bookmarkEnd w:id="246"/>
    </w:p>
    <w:p w:rsidR="0094273C" w:rsidRPr="0094273C" w:rsidRDefault="0094273C" w:rsidP="004D673E">
      <w:pPr>
        <w:ind w:firstLine="567"/>
      </w:pPr>
      <w:r w:rsidRPr="0094273C">
        <w:t xml:space="preserve">Cele środowiskowe dla wód powierzchniowych i obszarów chronionych opierają się na założeniu niepogarszania stanu wód oraz osiągnięcia dobrego stanu/potencjału ekologicznego przy utrzymaniu dobrego stanu chemicznego wód. Dla obszarów chronionych obecnie obowiązują takie same zasady określania celów środowiskowych. Dla wód podziemnych celem jest osiągnięcie dobrego stanu, poprzez utrzymanie co najmniej dobrego stanu ilościowego oraz chemicznego danej części wód. </w:t>
      </w:r>
    </w:p>
    <w:p w:rsidR="0094273C" w:rsidRPr="0094273C" w:rsidRDefault="0094273C" w:rsidP="004D673E">
      <w:pPr>
        <w:ind w:firstLine="567"/>
      </w:pPr>
      <w:r w:rsidRPr="0094273C">
        <w:t xml:space="preserve">Oddziaływanie projektu RPO na cele środowiskowe o charakterze pozytywnym będzie polegać na zapobieganiu lub ograniczeniu dopływu zanieczyszczeń do wód w wyniku budowy i funkcjonowania systemów sieci kanalizacyjnych i oczyszczalni ścieków, realizacji inwestycji z zakresu gospodarki odpadami (np. unieszkodliwianie odpadów, selektywna zbiórka odpadów), a także działań innowacyjnych szczególnie z zakresu energetyki itp. Równowagę pomiędzy poborem a zasilaniem, będzie zapewniać realizacja inwestycji gospodarki wodnej takich jak: sieci wodociągowe, stacje uzdatniania wód, zbiorniki retencyjne. </w:t>
      </w:r>
    </w:p>
    <w:p w:rsidR="0094273C" w:rsidRPr="0094273C" w:rsidRDefault="0094273C" w:rsidP="004D673E">
      <w:pPr>
        <w:ind w:firstLine="567"/>
      </w:pPr>
      <w:r w:rsidRPr="0094273C">
        <w:t>Negatywny wpływ projektu RPO na cele środowiskowe możliwy jest na etapie realizacji inwestycji, głównie podczas prac budowlanych, ustąpi po ich zakończeniu. W przypadku funkcjonowania obiektów retencyjnych niekorzystne oddziaływanie może wpływać na stan bioróżnorodności wód, szczególnie dla gatunków migrujących. Negatywne oddziaływanie można ograniczyć w projektach budowlanych obiektów infrastruktury wodnej poprzez zastosowanie odpowiednich rozwiązań technicznych.</w:t>
      </w:r>
    </w:p>
    <w:p w:rsidR="0094273C" w:rsidRPr="0094273C" w:rsidRDefault="0094273C" w:rsidP="004D673E">
      <w:pPr>
        <w:pStyle w:val="Nagwek4"/>
      </w:pPr>
      <w:bookmarkStart w:id="247" w:name="_Toc397925206"/>
      <w:bookmarkStart w:id="248" w:name="_Toc397925564"/>
      <w:r w:rsidRPr="0094273C">
        <w:t>Określenie, czy ustalenia projektu RPO przyczynią się do zmniejszenia lub zwiększenia poziomu ochrony wód</w:t>
      </w:r>
      <w:bookmarkEnd w:id="247"/>
      <w:bookmarkEnd w:id="248"/>
    </w:p>
    <w:p w:rsidR="0094273C" w:rsidRPr="0094273C" w:rsidRDefault="0094273C" w:rsidP="004D673E">
      <w:pPr>
        <w:tabs>
          <w:tab w:val="left" w:pos="0"/>
        </w:tabs>
        <w:ind w:firstLine="567"/>
      </w:pPr>
      <w:r w:rsidRPr="0094273C">
        <w:t xml:space="preserve">Projekt PRO zawiera ustalenia, które w większym lub mniejszym stopniu oddziałują na jakość wód powierzchniowych i podziemnych. Zwiększeniu poziomu ochrony wód będzie służyć przede wszystkim realizacja przedsięwzięć z zakresu inwestowania w sektor gospodarki wodnej. Ponadto do działań wzmacniających ochronę wód należy zaliczyć rozwój systemu wczesnego reagowania i ratownictwa w sytuacji wystąpienia zagrożenia. W mniejszym stopniu, ale również pozytywnie na poziom ochrony wód powierzchniowych i podziemnych, będą wpływać działania wynikające ze wsparcia przedsięwzięć z osi priorytetowej IV. Ochrona środowiska naturalnego i dziedzictwa </w:t>
      </w:r>
      <w:r w:rsidRPr="0094273C">
        <w:lastRenderedPageBreak/>
        <w:t>kulturowego, dotyczące m.in.: gospodarki odpadami, przywracania różnorodności biologicznej, utrzymania właściwego stanu siedlisk przyrodniczych i gatunków, rekultywacji lub remediacji terenów zdegradowanych oraz działania mające na celu poprawę stanu środowiska miejskiego.</w:t>
      </w:r>
    </w:p>
    <w:p w:rsidR="0094273C" w:rsidRPr="0094273C" w:rsidRDefault="0094273C" w:rsidP="004D673E">
      <w:pPr>
        <w:tabs>
          <w:tab w:val="left" w:pos="0"/>
        </w:tabs>
        <w:ind w:firstLine="567"/>
      </w:pPr>
      <w:r w:rsidRPr="0094273C">
        <w:t xml:space="preserve">Ponadto pozytywnie, ale w sposób pośredni na jakość wód będzie wpływać realizacja przedsięwzięć prowadzących do obniżenia emisji zanieczyszczeń do powietrza, a tym samym do zmniejszenia imisji zanieczyszczeń do wód i gleby. Służyć temu będzie rozwój odnawialnych źródeł energii, termomodernizacja budynków, budowa, rozbudowa sieci ciepłowniczych, modernizacja źródeł ciepła, stosowanie innowacyjnych technologii w zakresie wytwarzania i dystrybucji ciepła, rozwój transportu kolejowego, alternatywnego dla drogowego, wprowadzenie niskoemisyjnej, zintegrowanej multimodalnej mobilności miejskiej oraz systemu transportowego pozwalającego łączyć możliwości przewozowe różnych rodzajów transportu, zwłaszcza niskoemisyjnych. Realizacja projektów z zakresu innowacyjnej gospodarki, rynku pracy i integracji społecznej będzie również pośrednio pozytywnie oddziaływać na zasoby wodne. </w:t>
      </w:r>
    </w:p>
    <w:p w:rsidR="0094273C" w:rsidRPr="0094273C" w:rsidRDefault="0094273C" w:rsidP="004D673E">
      <w:pPr>
        <w:tabs>
          <w:tab w:val="left" w:pos="0"/>
        </w:tabs>
        <w:ind w:firstLine="567"/>
      </w:pPr>
      <w:r w:rsidRPr="0094273C">
        <w:t xml:space="preserve">Poziom ochrony wód powierzchniowych oraz podziemnych może zostać zakłócony na etapie prowadzenia prac budowlanych związanych z realizacja poszczególnych projektów, w szczególności: budowy, rozbudowy, modernizacji obiektów publicznych, sieci infrastrukturalnych, w tym również służących ochronie środowiska (np. wodociągów, kanalizacji, obiektów oczyszczalni ścieków). Prognozuje się, że oddziaływanie niekorzystne będzie obejmować etap budowy. Ponadto funkcjonowanie obiektów retencyjnych może wywołać zakłócenia w ochronie bioróżnorodności, szczególnie gatunków migrujących. Osłabienie poziomu ochrony wód możliwe jest również w wyniku rozwoju sieci komunikacyjnej: autostrad, sieci dróg, przejść granicznych. </w:t>
      </w:r>
      <w:bookmarkStart w:id="249" w:name="_Toc378314185"/>
      <w:bookmarkStart w:id="250" w:name="_Toc378314400"/>
    </w:p>
    <w:p w:rsidR="0094273C" w:rsidRPr="0094273C" w:rsidRDefault="0094273C" w:rsidP="004D673E">
      <w:pPr>
        <w:pStyle w:val="Nagwek3"/>
      </w:pPr>
      <w:bookmarkStart w:id="251" w:name="_Toc384300323"/>
      <w:bookmarkStart w:id="252" w:name="_Toc397925207"/>
      <w:bookmarkStart w:id="253" w:name="_Toc397925565"/>
      <w:r w:rsidRPr="0094273C">
        <w:t>Określenie, analiza i ocena przewidywanych znaczących oddziaływań na środowisko, w tym oddziaływań bezpośrednich, pośrednich, wtórnych, skumulowanych, krótkoterminowych, średnioterminowych i długoterminowych, stałych i chwilowych oraz pozytywnych i negatywnych</w:t>
      </w:r>
      <w:bookmarkEnd w:id="243"/>
      <w:bookmarkEnd w:id="244"/>
      <w:bookmarkEnd w:id="249"/>
      <w:bookmarkEnd w:id="250"/>
      <w:bookmarkEnd w:id="251"/>
      <w:bookmarkEnd w:id="252"/>
      <w:bookmarkEnd w:id="253"/>
      <w:r w:rsidRPr="0094273C">
        <w:t xml:space="preserve"> </w:t>
      </w:r>
    </w:p>
    <w:p w:rsidR="0094273C" w:rsidRPr="0094273C" w:rsidRDefault="0094273C" w:rsidP="004D673E">
      <w:pPr>
        <w:ind w:firstLine="567"/>
      </w:pPr>
      <w:bookmarkStart w:id="254" w:name="_Toc349130301"/>
      <w:bookmarkStart w:id="255" w:name="_Toc359241682"/>
      <w:bookmarkStart w:id="256" w:name="_Toc378314186"/>
      <w:bookmarkStart w:id="257" w:name="_Toc378314401"/>
      <w:bookmarkStart w:id="258" w:name="_Toc384300324"/>
      <w:r w:rsidRPr="0094273C">
        <w:t xml:space="preserve">W Prognozie oceniono wpływ realizacji i funkcjonowania każdego z przykładowych typów projektów na: jakość powietrza, wód powierzchniowych i podziemnych (jednolite części wód), jakość klimatu akustycznego, zasoby surowców mineralnych, powierzchnię ziemi łącznie z glebą, różnorodność biologiczną, obszary prawnie chronione, w tym na: obszary Natura 2000, rośliny i zwierzęta, krajobraz, zabytki oraz zdrowie ludzi. </w:t>
      </w:r>
      <w:r w:rsidRPr="0094273C">
        <w:rPr>
          <w:spacing w:val="-1"/>
        </w:rPr>
        <w:t xml:space="preserve">Jako kryterium oceny przyjęto </w:t>
      </w:r>
      <w:r w:rsidRPr="0094273C">
        <w:t xml:space="preserve">oddziaływanie zdefiniowane jako: pozytywne, negatywne, bezpośrednie, pośrednie, długookresowe, lokalne, regionalne, ponadregionalne. Przeprowadzono także analizę i ocenę przewidywanego znaczącego oddziaływania na cele i przedmiot ochrony obszarów Natura 2000 oraz na integralność tych obszarów. Wyznaczono obszary konfliktowe. Przyjęto, że obszary konfliktowe stanowią wspólną część obszarów objętych wsparciem (obszarów realizacji projektów w ramach osi priorytetowych) i obszarów chronionych na podstawie ustawy o ochronie przyrody. W toku analiz skupiono się przede wszystkim na tych projektach/przedsięwzięciach, których realizacja może w sposób bezpośredni lub pośredni oddziaływać na środowisko. </w:t>
      </w:r>
    </w:p>
    <w:p w:rsidR="0094273C" w:rsidRPr="0094273C" w:rsidRDefault="0094273C" w:rsidP="004D673E">
      <w:pPr>
        <w:pStyle w:val="Nagwek4"/>
      </w:pPr>
      <w:bookmarkStart w:id="259" w:name="_Toc397925208"/>
      <w:bookmarkStart w:id="260" w:name="_Toc397925566"/>
      <w:r w:rsidRPr="0094273C">
        <w:t>Analiza i ocena przewidywanego znaczącego oddziaływania na środowisko</w:t>
      </w:r>
      <w:bookmarkEnd w:id="254"/>
      <w:bookmarkEnd w:id="255"/>
      <w:bookmarkEnd w:id="256"/>
      <w:bookmarkEnd w:id="257"/>
      <w:bookmarkEnd w:id="258"/>
      <w:bookmarkEnd w:id="259"/>
      <w:bookmarkEnd w:id="260"/>
      <w:r w:rsidRPr="0094273C">
        <w:t xml:space="preserve"> </w:t>
      </w:r>
    </w:p>
    <w:p w:rsidR="0094273C" w:rsidRPr="0094273C" w:rsidRDefault="0094273C" w:rsidP="004D673E">
      <w:pPr>
        <w:pStyle w:val="Bezodstpw"/>
        <w:spacing w:line="276" w:lineRule="auto"/>
        <w:ind w:firstLine="567"/>
        <w:jc w:val="both"/>
      </w:pPr>
      <w:r w:rsidRPr="0094273C">
        <w:t xml:space="preserve">Dokonując analiz i ocen oddziaływania na środowisko przyjęto następujące założenia: </w:t>
      </w:r>
    </w:p>
    <w:p w:rsidR="0094273C" w:rsidRPr="0094273C" w:rsidRDefault="0094273C" w:rsidP="006E6138">
      <w:pPr>
        <w:pStyle w:val="Bezodstpw"/>
        <w:numPr>
          <w:ilvl w:val="0"/>
          <w:numId w:val="76"/>
        </w:numPr>
        <w:spacing w:line="276" w:lineRule="auto"/>
        <w:ind w:hanging="294"/>
        <w:jc w:val="both"/>
      </w:pPr>
      <w:r w:rsidRPr="0094273C">
        <w:lastRenderedPageBreak/>
        <w:t xml:space="preserve">wszystkie przedsięwzięcia inwestycyjne realizowane w ramach poszczególnych typów projektów wyszczególnionych w projekcie RPO będą spełniały wymagania określone w obowiązujących przepisach prawnych, </w:t>
      </w:r>
    </w:p>
    <w:p w:rsidR="0094273C" w:rsidRPr="0094273C" w:rsidRDefault="0094273C" w:rsidP="006E6138">
      <w:pPr>
        <w:pStyle w:val="Bezodstpw"/>
        <w:numPr>
          <w:ilvl w:val="0"/>
          <w:numId w:val="76"/>
        </w:numPr>
        <w:spacing w:line="276" w:lineRule="auto"/>
        <w:ind w:hanging="294"/>
        <w:jc w:val="both"/>
      </w:pPr>
      <w:r w:rsidRPr="0094273C">
        <w:t>będą stosowane najlepsze i najnowocześniejsze techniki i technologie sprzyjające ochronie środowiska.</w:t>
      </w:r>
    </w:p>
    <w:p w:rsidR="0094273C" w:rsidRPr="0094273C" w:rsidRDefault="0094273C" w:rsidP="004D673E">
      <w:pPr>
        <w:pStyle w:val="Bezodstpw"/>
        <w:spacing w:line="276" w:lineRule="auto"/>
        <w:jc w:val="both"/>
      </w:pPr>
    </w:p>
    <w:p w:rsidR="0094273C" w:rsidRPr="0094273C" w:rsidRDefault="0094273C" w:rsidP="004D673E">
      <w:pPr>
        <w:pStyle w:val="Bezodstpw"/>
        <w:spacing w:line="276" w:lineRule="auto"/>
        <w:ind w:firstLine="421"/>
        <w:jc w:val="both"/>
      </w:pPr>
      <w:r w:rsidRPr="0094273C">
        <w:t xml:space="preserve">W projekcie RPO nie opisuje się szczegółowo przedsięwzięć jakie należy zrealizować aby osiągnąć zamierzone cele, tylko określa się typy projektów, które mają szansę realizacji w ramach zidentyfikowanych osi priorytetowych, priorytetów inwestycyjnych. </w:t>
      </w:r>
    </w:p>
    <w:p w:rsidR="0094273C" w:rsidRPr="0094273C" w:rsidRDefault="0094273C" w:rsidP="004D673E">
      <w:pPr>
        <w:pStyle w:val="Bezodstpw"/>
        <w:spacing w:line="276" w:lineRule="auto"/>
        <w:ind w:firstLine="421"/>
        <w:jc w:val="both"/>
      </w:pPr>
      <w:r w:rsidRPr="0094273C">
        <w:t>Biorąc powyższe pod uwagę w Prognozie określono potencjalne oddziaływania, bez szczegółowego podawania poziomów oddziaływań, tj.: wielkości emisji zanieczyszczeń, wielkości emitowanego hałasu, ilości i jakości zajmowanych czy przekształcanych siedlisk przyrodniczych.</w:t>
      </w:r>
    </w:p>
    <w:p w:rsidR="0094273C" w:rsidRPr="0094273C" w:rsidRDefault="0094273C" w:rsidP="004D673E">
      <w:pPr>
        <w:rPr>
          <w:b/>
        </w:rPr>
      </w:pPr>
      <w:bookmarkStart w:id="261" w:name="_Toc349130302"/>
      <w:bookmarkStart w:id="262" w:name="_Toc359241683"/>
      <w:r w:rsidRPr="0094273C">
        <w:rPr>
          <w:b/>
        </w:rPr>
        <w:t>Przeprowadzone analizy wykazały, że:</w:t>
      </w:r>
    </w:p>
    <w:p w:rsidR="0094273C" w:rsidRPr="0094273C" w:rsidRDefault="0094273C" w:rsidP="006E6138">
      <w:pPr>
        <w:pStyle w:val="Akapitzlist"/>
        <w:numPr>
          <w:ilvl w:val="0"/>
          <w:numId w:val="107"/>
        </w:numPr>
        <w:spacing w:after="0"/>
        <w:ind w:hanging="294"/>
      </w:pPr>
      <w:r w:rsidRPr="0094273C">
        <w:t xml:space="preserve">Najwięcej </w:t>
      </w:r>
      <w:r w:rsidRPr="0094273C">
        <w:rPr>
          <w:b/>
        </w:rPr>
        <w:t>potencjalnie negatywnych/negatywnych</w:t>
      </w:r>
      <w:r w:rsidRPr="0094273C">
        <w:t xml:space="preserve"> oddziaływań na środowisko związanych będzie z realizacją typów projektów w ramach osi:</w:t>
      </w:r>
    </w:p>
    <w:p w:rsidR="0094273C" w:rsidRPr="0094273C" w:rsidRDefault="0094273C" w:rsidP="006E6138">
      <w:pPr>
        <w:pStyle w:val="Akapitzlist"/>
        <w:numPr>
          <w:ilvl w:val="0"/>
          <w:numId w:val="108"/>
        </w:numPr>
        <w:spacing w:after="0"/>
      </w:pPr>
      <w:r w:rsidRPr="0094273C">
        <w:rPr>
          <w:b/>
        </w:rPr>
        <w:t xml:space="preserve">I. Konkurencyjna i innowacyjna gospodarka, </w:t>
      </w:r>
      <w:r w:rsidRPr="0094273C">
        <w:t xml:space="preserve">m.in. typy projektów dotyczące </w:t>
      </w:r>
      <w:r w:rsidRPr="0094273C">
        <w:rPr>
          <w:rFonts w:eastAsia="Calibri"/>
        </w:rPr>
        <w:t>wsparcia tworzenia nowej i istniejącej infrastruktury na rzecz rozwoju gospodarczego poprzez uporządkowanie i przygotowanie terenów inwestycyjnych (w tym również drogi dojazdowe do terenów inwestycyjnych jako niezbędny element projektu),</w:t>
      </w:r>
    </w:p>
    <w:p w:rsidR="0094273C" w:rsidRPr="0094273C" w:rsidRDefault="0094273C" w:rsidP="006E6138">
      <w:pPr>
        <w:pStyle w:val="Akapitzlist"/>
        <w:numPr>
          <w:ilvl w:val="0"/>
          <w:numId w:val="108"/>
        </w:numPr>
        <w:spacing w:after="0"/>
      </w:pPr>
      <w:r w:rsidRPr="0094273C">
        <w:rPr>
          <w:b/>
        </w:rPr>
        <w:t>III. Czysta energia,</w:t>
      </w:r>
      <w:r w:rsidRPr="0094273C">
        <w:t xml:space="preserve"> m.in. typy projektów z zakresu: wytwarzania energii pochodzącej ze źródeł odnawialnych wraz z podłączeniem do sieci dystrybucyjnej/przesyłowej,</w:t>
      </w:r>
    </w:p>
    <w:p w:rsidR="0094273C" w:rsidRPr="0094273C" w:rsidRDefault="0094273C" w:rsidP="006E6138">
      <w:pPr>
        <w:pStyle w:val="Akapitzlist"/>
        <w:numPr>
          <w:ilvl w:val="0"/>
          <w:numId w:val="108"/>
        </w:numPr>
        <w:spacing w:after="0"/>
      </w:pPr>
      <w:r w:rsidRPr="0094273C">
        <w:rPr>
          <w:b/>
        </w:rPr>
        <w:t>IV. Ochrona środowiska naturalnego i dziedzictwa kulturowego</w:t>
      </w:r>
      <w:r w:rsidRPr="0094273C">
        <w:t>, m.in. typy projektów z zakresu: rozwoju form małej retencji, w tym m.in. zbiorników retencyjnych, zbiorników wodnych służących kształtowaniu zasobów wodnych, zbiorników przeciwpowodziowych, polderów przeciwpowodziowych, odtwarzanie naturalnych obszarów zalewowych,</w:t>
      </w:r>
    </w:p>
    <w:p w:rsidR="0094273C" w:rsidRPr="0094273C" w:rsidRDefault="0094273C" w:rsidP="006E6138">
      <w:pPr>
        <w:pStyle w:val="Akapitzlist"/>
        <w:numPr>
          <w:ilvl w:val="0"/>
          <w:numId w:val="108"/>
        </w:numPr>
        <w:spacing w:after="0"/>
      </w:pPr>
      <w:r w:rsidRPr="0094273C">
        <w:rPr>
          <w:b/>
        </w:rPr>
        <w:t>V. Infrastruktura komunikacyjna,</w:t>
      </w:r>
      <w:r w:rsidRPr="0094273C">
        <w:t xml:space="preserve"> m.in. typy projektów z zakresu inwestycji dotyczących dróg, typy projektów z zakresu inwestycji dotyczącej infrastruktury kolejowej o znaczeniu regionalnym (linie kolejowe, dworce, zaplecze techniczne).</w:t>
      </w:r>
    </w:p>
    <w:p w:rsidR="0094273C" w:rsidRPr="0094273C" w:rsidRDefault="0094273C" w:rsidP="004D673E">
      <w:pPr>
        <w:pStyle w:val="Bezodstpw"/>
        <w:spacing w:line="276" w:lineRule="auto"/>
        <w:ind w:left="709"/>
        <w:jc w:val="both"/>
      </w:pPr>
      <w:r w:rsidRPr="0094273C">
        <w:t xml:space="preserve">Oddziaływania negatywne będą dotyczyły głównie zamierzeń inwestycyjnych. Przewiduje się: oddziaływania bezpośrednie, krótkoterminowe (na etapie budowy), długoterminowe, średnioterminowe, trwałe/odwracalne, lokalne, możliwe oddziaływania skumulowane szczególnie w przypadku realizacji projektów dotyczących dróg, rozwoju form małej retencji, przygotowania nowych terenów inwestycyjnych, wytwarzania energii pochodzącej ze źródeł odnawialnych. </w:t>
      </w:r>
    </w:p>
    <w:p w:rsidR="0094273C" w:rsidRPr="0094273C" w:rsidRDefault="0094273C" w:rsidP="004D673E">
      <w:pPr>
        <w:pStyle w:val="Bezodstpw"/>
        <w:spacing w:line="276" w:lineRule="auto"/>
        <w:ind w:left="709"/>
        <w:jc w:val="both"/>
      </w:pPr>
      <w:r w:rsidRPr="0094273C">
        <w:t>Stwierdzone oddziaływania negatywne nie oznaczają oddziaływań znaczących.</w:t>
      </w:r>
    </w:p>
    <w:p w:rsidR="0094273C" w:rsidRPr="0094273C" w:rsidRDefault="0094273C" w:rsidP="006E6138">
      <w:pPr>
        <w:pStyle w:val="Bezodstpw"/>
        <w:numPr>
          <w:ilvl w:val="0"/>
          <w:numId w:val="107"/>
        </w:numPr>
        <w:spacing w:line="276" w:lineRule="auto"/>
        <w:ind w:hanging="294"/>
        <w:jc w:val="both"/>
      </w:pPr>
      <w:r w:rsidRPr="0094273C">
        <w:t xml:space="preserve">Najwięcej </w:t>
      </w:r>
      <w:r w:rsidRPr="0094273C">
        <w:rPr>
          <w:b/>
        </w:rPr>
        <w:t>pozytywnych</w:t>
      </w:r>
      <w:r w:rsidRPr="0094273C">
        <w:t xml:space="preserve"> oddziaływań na środowisko i zdrowie ludzi związanych będzie z realizacją typów projektów w ramach osi:</w:t>
      </w:r>
    </w:p>
    <w:p w:rsidR="0094273C" w:rsidRPr="0094273C" w:rsidRDefault="0094273C" w:rsidP="006E6138">
      <w:pPr>
        <w:pStyle w:val="Bezodstpw"/>
        <w:numPr>
          <w:ilvl w:val="0"/>
          <w:numId w:val="109"/>
        </w:numPr>
        <w:spacing w:line="276" w:lineRule="auto"/>
        <w:jc w:val="both"/>
      </w:pPr>
      <w:r w:rsidRPr="0094273C">
        <w:rPr>
          <w:b/>
        </w:rPr>
        <w:t xml:space="preserve">I. Konkurencyjna i innowacyjna gospodarka, zwłaszcza </w:t>
      </w:r>
      <w:r w:rsidRPr="0094273C">
        <w:rPr>
          <w:i/>
        </w:rPr>
        <w:t>PI</w:t>
      </w:r>
      <w:r w:rsidRPr="0094273C">
        <w:t xml:space="preserve"> </w:t>
      </w:r>
      <w:r w:rsidRPr="0094273C">
        <w:rPr>
          <w:i/>
        </w:rPr>
        <w:t>1.2.</w:t>
      </w:r>
      <w:r w:rsidRPr="0094273C">
        <w:t xml:space="preserve"> dotyczący </w:t>
      </w:r>
      <w:r w:rsidRPr="0094273C">
        <w:rPr>
          <w:i/>
        </w:rPr>
        <w:t>promowania inwestycji przedsiębiorstw w badania i innowacje, rozwijania powiązań i synergii między przedsiębiorstwami, ośrodkami badawczo-rozwojowymi i sektorem szkolnictwa wyższego</w:t>
      </w:r>
      <w:r w:rsidRPr="0094273C">
        <w:t>.</w:t>
      </w:r>
    </w:p>
    <w:p w:rsidR="0094273C" w:rsidRPr="0094273C" w:rsidRDefault="0094273C" w:rsidP="006E6138">
      <w:pPr>
        <w:pStyle w:val="Bezodstpw"/>
        <w:numPr>
          <w:ilvl w:val="0"/>
          <w:numId w:val="109"/>
        </w:numPr>
        <w:spacing w:line="276" w:lineRule="auto"/>
        <w:jc w:val="both"/>
      </w:pPr>
      <w:r w:rsidRPr="0094273C">
        <w:rPr>
          <w:b/>
        </w:rPr>
        <w:lastRenderedPageBreak/>
        <w:t>III. Czysta energia</w:t>
      </w:r>
      <w:r w:rsidRPr="0094273C">
        <w:t xml:space="preserve">, np. </w:t>
      </w:r>
      <w:r w:rsidRPr="0094273C">
        <w:rPr>
          <w:i/>
        </w:rPr>
        <w:t>PI</w:t>
      </w:r>
      <w:r w:rsidRPr="0094273C">
        <w:t xml:space="preserve"> </w:t>
      </w:r>
      <w:r w:rsidRPr="0094273C">
        <w:rPr>
          <w:i/>
        </w:rPr>
        <w:t>4.1.</w:t>
      </w:r>
      <w:r w:rsidRPr="0094273C">
        <w:t xml:space="preserve"> dotyczący </w:t>
      </w:r>
      <w:r w:rsidRPr="0094273C">
        <w:rPr>
          <w:i/>
        </w:rPr>
        <w:t>wspierania wytwarzania i dystrybucji energii pochodzącej ze źródeł odnawialnych,</w:t>
      </w:r>
      <w:r w:rsidRPr="0094273C">
        <w:t xml:space="preserve"> </w:t>
      </w:r>
      <w:r w:rsidRPr="0094273C">
        <w:rPr>
          <w:i/>
        </w:rPr>
        <w:t>PI</w:t>
      </w:r>
      <w:r w:rsidRPr="0094273C">
        <w:t xml:space="preserve"> </w:t>
      </w:r>
      <w:r w:rsidRPr="0094273C">
        <w:rPr>
          <w:i/>
        </w:rPr>
        <w:t>4.3. dotyczący wspierania efektywności energetycznej, inteligentnego zarządzania energią i wykorzystywania odnawialnych źródeł energii w infrastrukturze publicznej</w:t>
      </w:r>
      <w:r w:rsidRPr="0094273C">
        <w:t>.</w:t>
      </w:r>
    </w:p>
    <w:p w:rsidR="0094273C" w:rsidRPr="0094273C" w:rsidRDefault="0094273C" w:rsidP="006E6138">
      <w:pPr>
        <w:pStyle w:val="Bezodstpw"/>
        <w:numPr>
          <w:ilvl w:val="0"/>
          <w:numId w:val="109"/>
        </w:numPr>
        <w:spacing w:line="276" w:lineRule="auto"/>
        <w:jc w:val="both"/>
      </w:pPr>
      <w:r w:rsidRPr="0094273C">
        <w:rPr>
          <w:b/>
        </w:rPr>
        <w:t>IV. Ochrona środowiska naturalnego i dziedzictwa kulturowego,</w:t>
      </w:r>
      <w:r w:rsidRPr="0094273C">
        <w:t xml:space="preserve"> szczególnie </w:t>
      </w:r>
      <w:r w:rsidRPr="0094273C">
        <w:rPr>
          <w:i/>
        </w:rPr>
        <w:t>PI 5.2.</w:t>
      </w:r>
      <w:r w:rsidRPr="0094273C">
        <w:t xml:space="preserve"> dotyczący </w:t>
      </w:r>
      <w:r w:rsidRPr="0094273C">
        <w:rPr>
          <w:i/>
        </w:rPr>
        <w:t>wspierania inwestycji ukierunkowanych na konkretne rodzaje zagrożeń przy jednoczesnym zwiększaniu odporności na klęski i katastrofy oraz rozwijania systemów zarządzania klęskami im katastrofami,</w:t>
      </w:r>
      <w:r w:rsidRPr="0094273C">
        <w:t xml:space="preserve"> </w:t>
      </w:r>
      <w:r w:rsidRPr="0094273C">
        <w:rPr>
          <w:i/>
        </w:rPr>
        <w:t>PI 6.4. dotyczący ochrony i przywracania różnorodności biologicznej, ochrony i rekultywacji gleby</w:t>
      </w:r>
      <w:r w:rsidRPr="0094273C">
        <w:t xml:space="preserve">, </w:t>
      </w:r>
      <w:r w:rsidRPr="0094273C">
        <w:rPr>
          <w:i/>
        </w:rPr>
        <w:t>PI 6.5. dotyczący podejmowania przedsięwzięć mających na celu poprawę stanu jakości środowiska miejskiego, rewitalizację miast, rekultywację i dekontaminację terenów poprzemysłowych, zmniejszenia zanieczyszczenia powietrza i propagowania działań służących zmniejszeniu hałasu</w:t>
      </w:r>
      <w:r w:rsidRPr="0094273C">
        <w:t>.</w:t>
      </w:r>
    </w:p>
    <w:p w:rsidR="0094273C" w:rsidRPr="0094273C" w:rsidRDefault="0094273C" w:rsidP="006E6138">
      <w:pPr>
        <w:pStyle w:val="Bezodstpw"/>
        <w:numPr>
          <w:ilvl w:val="0"/>
          <w:numId w:val="109"/>
        </w:numPr>
        <w:spacing w:line="276" w:lineRule="auto"/>
        <w:jc w:val="both"/>
      </w:pPr>
      <w:r w:rsidRPr="0094273C">
        <w:rPr>
          <w:b/>
        </w:rPr>
        <w:t>VI.</w:t>
      </w:r>
      <w:r w:rsidRPr="0094273C">
        <w:rPr>
          <w:rFonts w:eastAsia="Calibri"/>
        </w:rPr>
        <w:t xml:space="preserve"> </w:t>
      </w:r>
      <w:r w:rsidRPr="0094273C">
        <w:rPr>
          <w:rFonts w:eastAsia="Calibri"/>
          <w:b/>
        </w:rPr>
        <w:t>Spójność przestrzenna i społeczna,</w:t>
      </w:r>
      <w:r w:rsidRPr="0094273C">
        <w:rPr>
          <w:rFonts w:eastAsia="Calibri"/>
        </w:rPr>
        <w:t xml:space="preserve"> </w:t>
      </w:r>
      <w:r w:rsidRPr="0094273C">
        <w:rPr>
          <w:rFonts w:eastAsia="Calibri"/>
          <w:i/>
        </w:rPr>
        <w:t>PI 9.2. dotyczący</w:t>
      </w:r>
      <w:r w:rsidRPr="0094273C">
        <w:rPr>
          <w:i/>
        </w:rPr>
        <w:t xml:space="preserve"> inwestowania w infrastrukturę zdrowotną i społeczną,</w:t>
      </w:r>
    </w:p>
    <w:p w:rsidR="0094273C" w:rsidRPr="0094273C" w:rsidRDefault="0094273C" w:rsidP="006E6138">
      <w:pPr>
        <w:pStyle w:val="Bezodstpw"/>
        <w:numPr>
          <w:ilvl w:val="0"/>
          <w:numId w:val="109"/>
        </w:numPr>
        <w:spacing w:line="276" w:lineRule="auto"/>
        <w:jc w:val="both"/>
      </w:pPr>
      <w:r w:rsidRPr="0094273C">
        <w:rPr>
          <w:b/>
        </w:rPr>
        <w:t>VII. Regionalny rynek pracy,</w:t>
      </w:r>
      <w:r w:rsidRPr="0094273C">
        <w:t xml:space="preserve"> </w:t>
      </w:r>
      <w:r w:rsidRPr="0094273C">
        <w:rPr>
          <w:i/>
        </w:rPr>
        <w:t>PI 8.9.</w:t>
      </w:r>
      <w:r w:rsidRPr="0094273C">
        <w:t xml:space="preserve"> dotyczący </w:t>
      </w:r>
      <w:r w:rsidRPr="0094273C">
        <w:rPr>
          <w:i/>
        </w:rPr>
        <w:t>przygotowania pracowników, przedsiębiorstw i przedsiębiorców do zmian</w:t>
      </w:r>
      <w:r w:rsidRPr="0094273C">
        <w:t>.</w:t>
      </w:r>
    </w:p>
    <w:p w:rsidR="0094273C" w:rsidRPr="0094273C" w:rsidRDefault="0094273C" w:rsidP="004D673E">
      <w:pPr>
        <w:pStyle w:val="Nagwek4"/>
      </w:pPr>
      <w:bookmarkStart w:id="263" w:name="_Toc378314187"/>
      <w:bookmarkStart w:id="264" w:name="_Toc378314402"/>
      <w:bookmarkStart w:id="265" w:name="_Toc384300325"/>
      <w:bookmarkStart w:id="266" w:name="_Toc397925209"/>
      <w:bookmarkStart w:id="267" w:name="_Toc397925567"/>
      <w:r w:rsidRPr="0094273C">
        <w:t>Identyfikacja, analiza i ocena oddziaływań generowanych ustaleniami RPO na zasoby, twory, składniki przyrody i cele ochrony przyrody wymienione w art. 2 ustawy o ochronie przyrody oraz zapewnienie utrzymania właściwego stanu ochrony zasobów przyrodniczych</w:t>
      </w:r>
      <w:bookmarkEnd w:id="263"/>
      <w:bookmarkEnd w:id="264"/>
      <w:bookmarkEnd w:id="265"/>
      <w:bookmarkEnd w:id="266"/>
      <w:bookmarkEnd w:id="267"/>
    </w:p>
    <w:p w:rsidR="0094273C" w:rsidRPr="0094273C" w:rsidRDefault="0094273C" w:rsidP="004D673E">
      <w:pPr>
        <w:ind w:firstLine="567"/>
        <w:rPr>
          <w:b/>
        </w:rPr>
      </w:pPr>
      <w:r w:rsidRPr="0094273C">
        <w:rPr>
          <w:b/>
        </w:rPr>
        <w:t xml:space="preserve">W czasie realizacji projektów określonych w RPO może dojść do: </w:t>
      </w:r>
    </w:p>
    <w:p w:rsidR="0094273C" w:rsidRPr="0094273C" w:rsidRDefault="0094273C" w:rsidP="006E6138">
      <w:pPr>
        <w:numPr>
          <w:ilvl w:val="0"/>
          <w:numId w:val="106"/>
        </w:numPr>
        <w:spacing w:after="0"/>
        <w:ind w:hanging="294"/>
      </w:pPr>
      <w:r w:rsidRPr="0094273C">
        <w:t xml:space="preserve">likwidacji siedlisk przyrodniczych w miejscu lokalizacji przedsięwzięć realizowanych w ramach typów projektów z osi priorytetowych: </w:t>
      </w:r>
      <w:r w:rsidRPr="0094273C">
        <w:rPr>
          <w:b/>
        </w:rPr>
        <w:t>I. Konkurencyjna i innowacyjna gospodarka</w:t>
      </w:r>
      <w:r w:rsidRPr="0094273C">
        <w:t xml:space="preserve">, </w:t>
      </w:r>
      <w:r w:rsidRPr="0094273C">
        <w:rPr>
          <w:i/>
        </w:rPr>
        <w:t>PI 3.1.Promowanie przedsiębiorczości, w szczególności poprzez ułatwianie gospodarczego wykorzystywania nowych pomysłów oraz sprzyjanie tworzeniu nowych firm, w tym również poprzez inkubatory przedsiębiorczości,</w:t>
      </w:r>
      <w:r w:rsidRPr="0094273C">
        <w:t xml:space="preserve"> </w:t>
      </w:r>
      <w:r w:rsidRPr="0094273C">
        <w:rPr>
          <w:b/>
        </w:rPr>
        <w:t>III. Czysta energia</w:t>
      </w:r>
      <w:r w:rsidRPr="0094273C">
        <w:t xml:space="preserve">, </w:t>
      </w:r>
      <w:r w:rsidRPr="0094273C">
        <w:rPr>
          <w:i/>
        </w:rPr>
        <w:t>PI 4.1. Wspieranie wytwarzania i dystrybucji energii pochodzącej ze źródeł odnawialnych</w:t>
      </w:r>
      <w:r w:rsidRPr="0094273C">
        <w:t xml:space="preserve">, </w:t>
      </w:r>
      <w:r w:rsidRPr="0094273C">
        <w:rPr>
          <w:b/>
        </w:rPr>
        <w:t>IV. Ochrona środowiska naturalnego i dziedzictwa kulturowego</w:t>
      </w:r>
      <w:r w:rsidRPr="0094273C">
        <w:t xml:space="preserve">, </w:t>
      </w:r>
      <w:r w:rsidRPr="0094273C">
        <w:rPr>
          <w:i/>
        </w:rPr>
        <w:t>PI 5.2. Wspieranie inwestycji ukierunkowanych na konkretne rodzaje zagrożeń przy jednoczesnym zwiększaniu odporności na klęski i katastrofy i rozwijaniu systemów zarządzania klęskami i katastrofami</w:t>
      </w:r>
      <w:r w:rsidRPr="0094273C">
        <w:t xml:space="preserve">, </w:t>
      </w:r>
      <w:r w:rsidRPr="0094273C">
        <w:rPr>
          <w:b/>
        </w:rPr>
        <w:t>V. Infrastruktura komunikacyjna,</w:t>
      </w:r>
      <w:r w:rsidRPr="0094273C">
        <w:t xml:space="preserve"> m.in. </w:t>
      </w:r>
      <w:r w:rsidRPr="0094273C">
        <w:rPr>
          <w:i/>
        </w:rPr>
        <w:t>PI 7.2. Zwiększanie mobilności regionalnej poprzez łączenie węzłów drugorzędnych i trzeciorzędnych z infrastrukturą TEN-T, w tym z węzłami multimodalnymi</w:t>
      </w:r>
      <w:r w:rsidRPr="0094273C">
        <w:t>,</w:t>
      </w:r>
    </w:p>
    <w:p w:rsidR="0094273C" w:rsidRPr="0094273C" w:rsidRDefault="0094273C" w:rsidP="006E6138">
      <w:pPr>
        <w:numPr>
          <w:ilvl w:val="0"/>
          <w:numId w:val="106"/>
        </w:numPr>
        <w:spacing w:after="0"/>
        <w:ind w:hanging="294"/>
      </w:pPr>
      <w:r w:rsidRPr="0094273C">
        <w:t xml:space="preserve">przerwania bądź ograniczenia drożności korytarzy ekologicznych w wyniku realizacji typów projektów z osi priorytetowej </w:t>
      </w:r>
      <w:r w:rsidRPr="0094273C">
        <w:rPr>
          <w:b/>
        </w:rPr>
        <w:t>IV. Ochrona środowiska naturalnego i dziedzictwa kulturowego</w:t>
      </w:r>
      <w:r w:rsidRPr="0094273C">
        <w:t xml:space="preserve">, </w:t>
      </w:r>
      <w:r w:rsidRPr="0094273C">
        <w:rPr>
          <w:i/>
        </w:rPr>
        <w:t>PI 5.2. Wspieranie inwestycji ukierunkowanych na konkretne rodzaje zagrożeń przy jednoczesnym zwiększaniu odporności na klęski i katastrofy i rozwijaniu systemów zarządzania klęskami i katastrofami</w:t>
      </w:r>
      <w:r w:rsidRPr="0094273C">
        <w:t xml:space="preserve">, </w:t>
      </w:r>
      <w:r w:rsidRPr="0094273C">
        <w:rPr>
          <w:b/>
        </w:rPr>
        <w:t>V. Infrastruktura komunikacyjna,</w:t>
      </w:r>
      <w:r w:rsidRPr="0094273C">
        <w:t xml:space="preserve"> </w:t>
      </w:r>
      <w:r w:rsidRPr="0094273C">
        <w:rPr>
          <w:i/>
        </w:rPr>
        <w:t>PI 7.2. Zwiększanie mobilności regionalnej poprzez łączenie węzłów drugorzędnych i trzeciorzędnych z infrastrukturą TEN-T, w tym z węzłami multimodalnymi</w:t>
      </w:r>
      <w:r w:rsidRPr="0094273C">
        <w:t xml:space="preserve">, </w:t>
      </w:r>
      <w:r w:rsidRPr="0094273C">
        <w:rPr>
          <w:rFonts w:eastAsia="Calibri"/>
          <w:i/>
        </w:rPr>
        <w:t>PI 7.4.</w:t>
      </w:r>
      <w:r w:rsidRPr="0094273C">
        <w:rPr>
          <w:rFonts w:eastAsia="Calibri"/>
        </w:rPr>
        <w:t xml:space="preserve"> </w:t>
      </w:r>
      <w:r w:rsidRPr="0094273C">
        <w:rPr>
          <w:i/>
        </w:rPr>
        <w:t>Rozwoju i rehabilitacji kompleksowych, wysokiej jakości i interoperacyjnych systemów transportu kolejowego oraz propagowanie działań służących zmniejszeniu hałasu</w:t>
      </w:r>
      <w:r w:rsidRPr="0094273C">
        <w:rPr>
          <w:rFonts w:eastAsia="Calibri"/>
        </w:rPr>
        <w:t>,</w:t>
      </w:r>
    </w:p>
    <w:p w:rsidR="0094273C" w:rsidRPr="0094273C" w:rsidRDefault="0094273C" w:rsidP="006E6138">
      <w:pPr>
        <w:numPr>
          <w:ilvl w:val="0"/>
          <w:numId w:val="106"/>
        </w:numPr>
        <w:spacing w:after="0"/>
        <w:ind w:hanging="294"/>
      </w:pPr>
      <w:r w:rsidRPr="0094273C">
        <w:lastRenderedPageBreak/>
        <w:t xml:space="preserve">zmiany obecnego krajobrazu w wyniku realizacji typów projektów z osi priorytetowej </w:t>
      </w:r>
      <w:r w:rsidRPr="0094273C">
        <w:rPr>
          <w:b/>
        </w:rPr>
        <w:t>III. Czysta energia</w:t>
      </w:r>
      <w:r w:rsidRPr="0094273C">
        <w:t xml:space="preserve">, PI </w:t>
      </w:r>
      <w:r w:rsidRPr="0094273C">
        <w:rPr>
          <w:i/>
        </w:rPr>
        <w:t>4.1. Wspieranie wytwarzania i dystrybucji energii pochodzącej ze źródeł odnawialnych</w:t>
      </w:r>
      <w:r w:rsidRPr="0094273C">
        <w:t>,</w:t>
      </w:r>
      <w:r w:rsidRPr="0094273C">
        <w:rPr>
          <w:b/>
        </w:rPr>
        <w:t xml:space="preserve"> IV. Ochrona środowiska naturalnego i dziedzictwa kulturowego</w:t>
      </w:r>
      <w:r w:rsidRPr="0094273C">
        <w:t xml:space="preserve">, </w:t>
      </w:r>
      <w:r w:rsidRPr="0094273C">
        <w:rPr>
          <w:i/>
        </w:rPr>
        <w:t>PI 5.2. Wspieranie inwestycji ukierunkowanych na konkretne rodzaje zagrożeń przy jednoczesnym zwiększaniu odporności na klęski i katastrofy i rozwijaniu systemów zarządzania klęskami i katastrofami</w:t>
      </w:r>
      <w:r w:rsidRPr="0094273C">
        <w:t>,</w:t>
      </w:r>
    </w:p>
    <w:p w:rsidR="0094273C" w:rsidRPr="0094273C" w:rsidRDefault="0094273C" w:rsidP="006E6138">
      <w:pPr>
        <w:numPr>
          <w:ilvl w:val="0"/>
          <w:numId w:val="106"/>
        </w:numPr>
        <w:spacing w:after="0"/>
        <w:ind w:hanging="294"/>
      </w:pPr>
      <w:r w:rsidRPr="0094273C">
        <w:t xml:space="preserve">fragmentacji siedlisk przyrodniczych w przypadku realizacji typów projektów z osi priorytetowej </w:t>
      </w:r>
      <w:r w:rsidRPr="0094273C">
        <w:rPr>
          <w:b/>
        </w:rPr>
        <w:t>III. Czysta energia</w:t>
      </w:r>
      <w:r w:rsidRPr="0094273C">
        <w:t xml:space="preserve">, </w:t>
      </w:r>
      <w:r w:rsidRPr="0094273C">
        <w:rPr>
          <w:i/>
        </w:rPr>
        <w:t>PI 4.1. Wspieranie wytwarzania i dystrybucji energii pochodzącej ze źródeł odnawialnych,</w:t>
      </w:r>
      <w:r w:rsidRPr="0094273C">
        <w:rPr>
          <w:b/>
        </w:rPr>
        <w:t xml:space="preserve"> IV. Ochrona środowiska naturalnego i dziedzictwa kulturowego</w:t>
      </w:r>
      <w:r w:rsidRPr="0094273C">
        <w:t>,</w:t>
      </w:r>
      <w:r w:rsidRPr="0094273C">
        <w:rPr>
          <w:i/>
        </w:rPr>
        <w:t xml:space="preserve"> PI</w:t>
      </w:r>
      <w:r w:rsidRPr="0094273C">
        <w:t xml:space="preserve"> </w:t>
      </w:r>
      <w:r w:rsidRPr="0094273C">
        <w:rPr>
          <w:i/>
        </w:rPr>
        <w:t>5.2. Wspieranie inwestycji ukierunkowanych na konkretne rodzaje zagrożeń przy jednoczesnym zwiększaniu odporności na klęski i katastrofy i rozwijaniu systemów zarządzania klęskami i katastrofami</w:t>
      </w:r>
      <w:r w:rsidRPr="0094273C">
        <w:t xml:space="preserve">, </w:t>
      </w:r>
      <w:r w:rsidRPr="0094273C">
        <w:rPr>
          <w:b/>
        </w:rPr>
        <w:t>V. Infrastruktura komunikacyjna,</w:t>
      </w:r>
      <w:r w:rsidRPr="0094273C">
        <w:t xml:space="preserve"> </w:t>
      </w:r>
      <w:r w:rsidRPr="0094273C">
        <w:rPr>
          <w:i/>
        </w:rPr>
        <w:t>PI 7.2. Zwiększanie mobilności regionalnej poprzez łączenie węzłów drugorzędnych i trzeciorzędnych z infrastrukturą TEN-T, w tym z węzłami multimodalnymi</w:t>
      </w:r>
      <w:r w:rsidRPr="0094273C">
        <w:t xml:space="preserve">, </w:t>
      </w:r>
      <w:r w:rsidRPr="0094273C">
        <w:rPr>
          <w:rFonts w:eastAsia="Calibri"/>
          <w:i/>
        </w:rPr>
        <w:t>PI 7.4.</w:t>
      </w:r>
      <w:r w:rsidRPr="0094273C">
        <w:rPr>
          <w:rFonts w:eastAsia="Calibri"/>
        </w:rPr>
        <w:t xml:space="preserve"> </w:t>
      </w:r>
      <w:r w:rsidRPr="0094273C">
        <w:rPr>
          <w:i/>
        </w:rPr>
        <w:t>Rozwoju i rehabilitacji kompleksowych, wysokiej jakości i interoperacyjnych systemów transportu kolejowego oraz propagowanie działań służących zmniejszeniu hałasu</w:t>
      </w:r>
      <w:r w:rsidRPr="0094273C">
        <w:t>.</w:t>
      </w:r>
    </w:p>
    <w:p w:rsidR="0094273C" w:rsidRPr="0094273C" w:rsidRDefault="0094273C" w:rsidP="004D673E">
      <w:pPr>
        <w:pStyle w:val="Bezodstpw"/>
        <w:spacing w:line="276" w:lineRule="auto"/>
        <w:ind w:firstLine="720"/>
        <w:jc w:val="both"/>
      </w:pPr>
    </w:p>
    <w:p w:rsidR="0094273C" w:rsidRPr="0094273C" w:rsidRDefault="0094273C" w:rsidP="004D673E">
      <w:pPr>
        <w:pStyle w:val="Bezodstpw"/>
        <w:spacing w:line="276" w:lineRule="auto"/>
        <w:ind w:firstLine="720"/>
        <w:jc w:val="both"/>
      </w:pPr>
      <w:r w:rsidRPr="0094273C">
        <w:t>Niemniej jednak nie przewiduje się takich zmian, aby:</w:t>
      </w:r>
    </w:p>
    <w:p w:rsidR="0094273C" w:rsidRPr="0094273C" w:rsidRDefault="0094273C" w:rsidP="006E6138">
      <w:pPr>
        <w:pStyle w:val="Bezodstpw"/>
        <w:numPr>
          <w:ilvl w:val="0"/>
          <w:numId w:val="99"/>
        </w:numPr>
        <w:spacing w:line="276" w:lineRule="auto"/>
        <w:ind w:hanging="294"/>
        <w:jc w:val="both"/>
      </w:pPr>
      <w:r w:rsidRPr="0094273C">
        <w:t xml:space="preserve">nie była zapewniona ciągłość istnienia gatunków roślin, zwierząt i grzybów, wraz z ich siedliskami, </w:t>
      </w:r>
    </w:p>
    <w:p w:rsidR="0094273C" w:rsidRPr="0094273C" w:rsidRDefault="0094273C" w:rsidP="006E6138">
      <w:pPr>
        <w:pStyle w:val="Bezodstpw"/>
        <w:numPr>
          <w:ilvl w:val="0"/>
          <w:numId w:val="99"/>
        </w:numPr>
        <w:spacing w:line="276" w:lineRule="auto"/>
        <w:ind w:hanging="294"/>
        <w:jc w:val="both"/>
      </w:pPr>
      <w:r w:rsidRPr="0094273C">
        <w:t>nie zostały utrzymane procesy ekologiczne i stabilność ekosystemów,</w:t>
      </w:r>
    </w:p>
    <w:p w:rsidR="0094273C" w:rsidRPr="0094273C" w:rsidRDefault="0094273C" w:rsidP="006E6138">
      <w:pPr>
        <w:numPr>
          <w:ilvl w:val="0"/>
          <w:numId w:val="98"/>
        </w:numPr>
        <w:spacing w:after="0"/>
        <w:ind w:hanging="294"/>
      </w:pPr>
      <w:r w:rsidRPr="0094273C">
        <w:t>nie została zachowana różnorodność biologiczna, dziedzictwo geologiczne i paleontologiczne.</w:t>
      </w:r>
    </w:p>
    <w:p w:rsidR="0094273C" w:rsidRPr="0094273C" w:rsidRDefault="0094273C" w:rsidP="004D673E">
      <w:pPr>
        <w:pStyle w:val="Bezodstpw"/>
        <w:spacing w:line="276" w:lineRule="auto"/>
        <w:jc w:val="both"/>
        <w:rPr>
          <w:bCs/>
        </w:rPr>
      </w:pPr>
    </w:p>
    <w:p w:rsidR="0094273C" w:rsidRPr="0094273C" w:rsidRDefault="0094273C" w:rsidP="004D673E">
      <w:pPr>
        <w:pStyle w:val="Bezodstpw"/>
        <w:spacing w:line="276" w:lineRule="auto"/>
        <w:ind w:firstLine="567"/>
        <w:jc w:val="both"/>
      </w:pPr>
      <w:r w:rsidRPr="0094273C">
        <w:rPr>
          <w:bCs/>
        </w:rPr>
        <w:t xml:space="preserve">Jednym z celów szczegółowych określonych w projekcie RPO jest: </w:t>
      </w:r>
      <w:r w:rsidRPr="0094273C">
        <w:rPr>
          <w:b/>
          <w:bCs/>
          <w:i/>
        </w:rPr>
        <w:t>P</w:t>
      </w:r>
      <w:r w:rsidRPr="0094273C">
        <w:rPr>
          <w:b/>
          <w:i/>
        </w:rPr>
        <w:t>rzywrócenie i ochrona różnorodności biologicznej województwa podkarpackiego.</w:t>
      </w:r>
    </w:p>
    <w:p w:rsidR="0094273C" w:rsidRPr="0094273C" w:rsidRDefault="0094273C" w:rsidP="004D673E">
      <w:pPr>
        <w:pStyle w:val="Bezodstpw"/>
        <w:spacing w:line="276" w:lineRule="auto"/>
        <w:ind w:firstLine="567"/>
        <w:jc w:val="both"/>
      </w:pPr>
    </w:p>
    <w:p w:rsidR="0094273C" w:rsidRPr="0094273C" w:rsidRDefault="0094273C" w:rsidP="004D673E">
      <w:pPr>
        <w:pStyle w:val="Bezodstpw"/>
        <w:spacing w:line="276" w:lineRule="auto"/>
        <w:ind w:firstLine="567"/>
        <w:jc w:val="both"/>
        <w:rPr>
          <w:b/>
        </w:rPr>
      </w:pPr>
      <w:r w:rsidRPr="0094273C">
        <w:rPr>
          <w:b/>
        </w:rPr>
        <w:t>Cel ten będzie realizowany np. poprzez następujące typy projektów inwestycyjnych:</w:t>
      </w:r>
    </w:p>
    <w:p w:rsidR="0094273C" w:rsidRPr="0094273C" w:rsidRDefault="0094273C" w:rsidP="006E6138">
      <w:pPr>
        <w:pStyle w:val="Akapitzlist"/>
        <w:numPr>
          <w:ilvl w:val="0"/>
          <w:numId w:val="96"/>
        </w:numPr>
        <w:spacing w:after="0"/>
        <w:ind w:hanging="294"/>
        <w:contextualSpacing w:val="0"/>
      </w:pPr>
      <w:r w:rsidRPr="0094273C">
        <w:t>Tworzenie i wyposażenie centrów ochrony różnorodności biologicznej na obszarach miejskich i pozamiejskich w oparciu o gatunki rodzime np. banki genowe, parki miejskie, ogrody botaniczne, ekoparki.</w:t>
      </w:r>
    </w:p>
    <w:p w:rsidR="0094273C" w:rsidRPr="0094273C" w:rsidRDefault="0094273C" w:rsidP="006E6138">
      <w:pPr>
        <w:pStyle w:val="Akapitzlist"/>
        <w:numPr>
          <w:ilvl w:val="0"/>
          <w:numId w:val="96"/>
        </w:numPr>
        <w:spacing w:after="0"/>
        <w:ind w:hanging="294"/>
        <w:contextualSpacing w:val="0"/>
      </w:pPr>
      <w:r w:rsidRPr="0094273C">
        <w:t>Budowa i modernizacja niezbędnej infrastruktury związanej z ochroną, przywróceniem właściwego stanu siedlisk przyrodniczych i gatunków (również na terenach chronionych).</w:t>
      </w:r>
    </w:p>
    <w:p w:rsidR="0094273C" w:rsidRPr="0094273C" w:rsidRDefault="0094273C" w:rsidP="006E6138">
      <w:pPr>
        <w:pStyle w:val="Akapitzlist"/>
        <w:numPr>
          <w:ilvl w:val="0"/>
          <w:numId w:val="96"/>
        </w:numPr>
        <w:spacing w:after="0"/>
        <w:ind w:hanging="294"/>
        <w:contextualSpacing w:val="0"/>
      </w:pPr>
      <w:r w:rsidRPr="0094273C">
        <w:t>Projekty dotyczące waloryzacji istniejących form ochrony przyrody (w szczególności obszarów chronionego krajobrazu), oraz zadań wynikających z potrzeby ochrony krajobrazu, w tym opracowywanie planów/programów ochrony i zarządzania oraz innych dokumentów dla obszarów cennych przyrodniczo i krajobrazowo.</w:t>
      </w:r>
    </w:p>
    <w:p w:rsidR="0094273C" w:rsidRPr="0094273C" w:rsidRDefault="0094273C" w:rsidP="006E6138">
      <w:pPr>
        <w:pStyle w:val="Akapitzlist"/>
        <w:numPr>
          <w:ilvl w:val="0"/>
          <w:numId w:val="96"/>
        </w:numPr>
        <w:spacing w:after="0"/>
        <w:ind w:hanging="294"/>
        <w:contextualSpacing w:val="0"/>
      </w:pPr>
      <w:r w:rsidRPr="0094273C">
        <w:t>Rozwój działalności wykorzystującej lokalne zasoby przyrodnicze, w tym inwestycje dotyczące infrastruktury mającej na celu rozwój turystyki i edukacji oraz promowanie form ochrony przyrody.</w:t>
      </w:r>
    </w:p>
    <w:p w:rsidR="0094273C" w:rsidRPr="0094273C" w:rsidRDefault="0094273C" w:rsidP="006E6138">
      <w:pPr>
        <w:pStyle w:val="Akapitzlist"/>
        <w:numPr>
          <w:ilvl w:val="0"/>
          <w:numId w:val="96"/>
        </w:numPr>
        <w:spacing w:after="0"/>
        <w:ind w:hanging="294"/>
        <w:contextualSpacing w:val="0"/>
      </w:pPr>
      <w:r w:rsidRPr="0094273C">
        <w:t>Wsparcie ośrodków prowadzących działalność w zakresie edukacji ekologicznej (m.in. w parkach krajobrazowych).</w:t>
      </w:r>
    </w:p>
    <w:p w:rsidR="0094273C" w:rsidRPr="0094273C" w:rsidRDefault="0094273C" w:rsidP="006E6138">
      <w:pPr>
        <w:pStyle w:val="Akapitzlist"/>
        <w:numPr>
          <w:ilvl w:val="0"/>
          <w:numId w:val="96"/>
        </w:numPr>
        <w:spacing w:after="0"/>
        <w:ind w:hanging="294"/>
        <w:contextualSpacing w:val="0"/>
      </w:pPr>
      <w:r w:rsidRPr="0094273C">
        <w:t>Sporządzanie inwentaryzacji nieleśnych siedlisk przyrodniczych w granicach obszarów NATURA 2000 (w uzgodnieniu z GDOŚ).</w:t>
      </w:r>
    </w:p>
    <w:p w:rsidR="0094273C" w:rsidRPr="0094273C" w:rsidRDefault="0094273C" w:rsidP="006E6138">
      <w:pPr>
        <w:pStyle w:val="Akapitzlist"/>
        <w:numPr>
          <w:ilvl w:val="0"/>
          <w:numId w:val="96"/>
        </w:numPr>
        <w:spacing w:after="0"/>
        <w:ind w:hanging="294"/>
        <w:contextualSpacing w:val="0"/>
      </w:pPr>
      <w:r w:rsidRPr="0094273C">
        <w:lastRenderedPageBreak/>
        <w:t>Ochrona in-situ i ex-situ zagrożonych gatunków i siedlisk przyrodniczych na obszarach parków krajobrazowych i rezerwatów przyrody (w tym położonych na obszarach Natura 2000).</w:t>
      </w:r>
    </w:p>
    <w:p w:rsidR="0094273C" w:rsidRPr="0094273C" w:rsidRDefault="0094273C" w:rsidP="004D673E"/>
    <w:p w:rsidR="0094273C" w:rsidRPr="0094273C" w:rsidRDefault="0094273C" w:rsidP="004D673E">
      <w:pPr>
        <w:ind w:firstLine="567"/>
      </w:pPr>
      <w:r w:rsidRPr="0094273C">
        <w:t xml:space="preserve">Realizacja wyszczególnionych wyżej typów projektów będzie miała pozytywny i bezpośredni wpływ na utrzymanie stanu ochrony zasobów przyrodniczych. Projekty będą mogły być realizowane na terenie całego województwa. </w:t>
      </w:r>
    </w:p>
    <w:p w:rsidR="0094273C" w:rsidRPr="0094273C" w:rsidRDefault="0094273C" w:rsidP="004D673E"/>
    <w:p w:rsidR="0094273C" w:rsidRPr="0094273C" w:rsidRDefault="0094273C" w:rsidP="004D673E">
      <w:pPr>
        <w:ind w:firstLine="567"/>
      </w:pPr>
      <w:r w:rsidRPr="0094273C">
        <w:t>Należy zaznaczyć, że w projekcie RPO znalazły się także typy projektów, których realizacja będzie miała pośredni, pozytywny wpływ na stan zasobów przyrodniczych. Należą do nich m.in. typy projektów związane z:</w:t>
      </w:r>
    </w:p>
    <w:p w:rsidR="0094273C" w:rsidRPr="0094273C" w:rsidRDefault="0094273C" w:rsidP="006E6138">
      <w:pPr>
        <w:numPr>
          <w:ilvl w:val="0"/>
          <w:numId w:val="97"/>
        </w:numPr>
        <w:spacing w:after="0"/>
        <w:ind w:hanging="294"/>
      </w:pPr>
      <w:r w:rsidRPr="0094273C">
        <w:t xml:space="preserve">odtwarzaniem naturalnych obszarów zalewowych, </w:t>
      </w:r>
    </w:p>
    <w:p w:rsidR="0094273C" w:rsidRPr="0094273C" w:rsidRDefault="0094273C" w:rsidP="006E6138">
      <w:pPr>
        <w:numPr>
          <w:ilvl w:val="0"/>
          <w:numId w:val="97"/>
        </w:numPr>
        <w:spacing w:after="0"/>
        <w:ind w:hanging="294"/>
      </w:pPr>
      <w:r w:rsidRPr="0094273C">
        <w:t>inwestycjami dotyczącymi oczyszczalni ścieków celem spełnienia wymagań dyrektywy ściekowej dotyczącej jakości oczyszczonych ścieków dla aglomeracji z przedziału 2-10 tys. RLM,</w:t>
      </w:r>
    </w:p>
    <w:p w:rsidR="0094273C" w:rsidRPr="0094273C" w:rsidRDefault="0094273C" w:rsidP="006E6138">
      <w:pPr>
        <w:numPr>
          <w:ilvl w:val="0"/>
          <w:numId w:val="97"/>
        </w:numPr>
        <w:spacing w:after="0"/>
        <w:ind w:hanging="294"/>
      </w:pPr>
      <w:r w:rsidRPr="0094273C">
        <w:t>wsparciem dla projektów mogących wynikać z planów gospodarki niskoemisyjnej/programów ograniczenia niskiej emisji dla poszczególnych typów obszarów miast i niekwalifikujących się do dofinansowania w ramach PI, np. działania dotyczące oszczędności energii, inwestycje w zakresie budownictwa pasywnego,</w:t>
      </w:r>
    </w:p>
    <w:p w:rsidR="0094273C" w:rsidRPr="0094273C" w:rsidRDefault="0094273C" w:rsidP="006E6138">
      <w:pPr>
        <w:numPr>
          <w:ilvl w:val="0"/>
          <w:numId w:val="97"/>
        </w:numPr>
        <w:spacing w:after="0"/>
        <w:ind w:hanging="294"/>
      </w:pPr>
      <w:r w:rsidRPr="0094273C">
        <w:t>kompleksowymi działaniami skierowanymi na poprawę gospodarowania odpadami komunalnymi zgodnie z Wojewódzkim Planem Gospodarki Odpadami,</w:t>
      </w:r>
    </w:p>
    <w:p w:rsidR="0094273C" w:rsidRPr="0094273C" w:rsidRDefault="0094273C" w:rsidP="006E6138">
      <w:pPr>
        <w:numPr>
          <w:ilvl w:val="0"/>
          <w:numId w:val="97"/>
        </w:numPr>
        <w:spacing w:after="0"/>
        <w:ind w:hanging="294"/>
      </w:pPr>
      <w:r w:rsidRPr="0094273C">
        <w:t>zagospodarowaniem zdegradowanych przestrzeni na cele publiczne,</w:t>
      </w:r>
    </w:p>
    <w:p w:rsidR="0094273C" w:rsidRPr="0094273C" w:rsidRDefault="0094273C" w:rsidP="006E6138">
      <w:pPr>
        <w:numPr>
          <w:ilvl w:val="0"/>
          <w:numId w:val="97"/>
        </w:numPr>
        <w:spacing w:after="0"/>
        <w:ind w:hanging="294"/>
      </w:pPr>
      <w:r w:rsidRPr="0094273C">
        <w:t>działaniami służącymi poprawie jakości powietrza dla sektora mikro, małych i średnich przedsiębiorstw: instalacje i urządzenia ograniczające emisję zanieczyszczeń do powietrza.</w:t>
      </w:r>
    </w:p>
    <w:p w:rsidR="0094273C" w:rsidRPr="0094273C" w:rsidRDefault="0094273C" w:rsidP="004D673E">
      <w:pPr>
        <w:ind w:firstLine="567"/>
      </w:pPr>
      <w:r w:rsidRPr="0094273C">
        <w:t>Biorąc pod uwagę analizy przeprowadzone w Prognozie należy stwierdzić, że nie przewiduje się realizacji takich typów projektów, aby nie było zapewnione utrzymanie właściwego stanu ochrony zasobów przyrodniczych.</w:t>
      </w:r>
    </w:p>
    <w:p w:rsidR="0094273C" w:rsidRPr="0094273C" w:rsidRDefault="0094273C" w:rsidP="004D673E">
      <w:pPr>
        <w:pStyle w:val="Nagwek4"/>
      </w:pPr>
      <w:bookmarkStart w:id="268" w:name="_Toc378314188"/>
      <w:bookmarkStart w:id="269" w:name="_Toc378314403"/>
      <w:bookmarkStart w:id="270" w:name="_Toc384300326"/>
      <w:bookmarkStart w:id="271" w:name="_Toc397925210"/>
      <w:bookmarkStart w:id="272" w:name="_Toc397925568"/>
      <w:r w:rsidRPr="0094273C">
        <w:t>Analiza i ocena przewidywanego znaczącego oddziaływania na cele i przedmiot ochrony obszarów Natura 2000 oraz na integralność tych obszarów</w:t>
      </w:r>
      <w:bookmarkEnd w:id="261"/>
      <w:bookmarkEnd w:id="262"/>
      <w:bookmarkEnd w:id="268"/>
      <w:bookmarkEnd w:id="269"/>
      <w:bookmarkEnd w:id="270"/>
      <w:bookmarkEnd w:id="271"/>
      <w:bookmarkEnd w:id="272"/>
    </w:p>
    <w:p w:rsidR="0094273C" w:rsidRPr="0094273C" w:rsidRDefault="0094273C" w:rsidP="004D673E">
      <w:pPr>
        <w:pStyle w:val="Bezodstpw"/>
        <w:spacing w:line="276" w:lineRule="auto"/>
        <w:ind w:firstLine="567"/>
        <w:jc w:val="both"/>
      </w:pPr>
      <w:r w:rsidRPr="0094273C">
        <w:t>Analizie i ocenie poddano realizację wszystkich typów projektów wyszczególnionych w poszczególnych priorytetach inwestycyjnych określonych w projekcie RPO. Projekty będą przechodziły procedury konkursowe.</w:t>
      </w:r>
    </w:p>
    <w:p w:rsidR="0094273C" w:rsidRPr="0094273C" w:rsidRDefault="0094273C" w:rsidP="004D673E">
      <w:pPr>
        <w:pStyle w:val="Bezodstpw"/>
        <w:spacing w:line="276" w:lineRule="auto"/>
        <w:ind w:firstLine="567"/>
        <w:jc w:val="both"/>
      </w:pPr>
      <w:r w:rsidRPr="0094273C">
        <w:t>Ze względu na ogólny charakter projektu RPO nie jest możliwe jednoznaczne wskazanie znaczących oddziaływań na cele i przedmiot ochrony obszarów Natura 2000 oraz na integralność tych obszarów. Możliwe jest wskazanie potencjalnych zagrożeń, do których należy zaliczyć m.in.: fragmentację siedlisk przyrodniczych, zmniejszenie powierzchni siedlisk przyrodniczych, jakościowe zmiany siedlisk, powstawanie nowych barier dla funkcjonowania układów przyrodniczych.</w:t>
      </w:r>
    </w:p>
    <w:p w:rsidR="0094273C" w:rsidRPr="0094273C" w:rsidRDefault="0094273C" w:rsidP="004D673E">
      <w:pPr>
        <w:pStyle w:val="Bezodstpw"/>
        <w:spacing w:line="276" w:lineRule="auto"/>
        <w:ind w:firstLine="567"/>
        <w:jc w:val="both"/>
      </w:pPr>
      <w:r w:rsidRPr="0094273C">
        <w:t xml:space="preserve">Biorąc powyższe pod uwagę i kierując się zasadą przezorności należy zwracać szczególną uwagę na rozmieszczenie siedlisk naturowych i tak lokalizować przedsięwzięcia, aby nie dochodziło do zmian jakościowych siedlisk, ich fragmentacji czy nieodwracalnego zniszczenia. Jeżeli okaże się </w:t>
      </w:r>
      <w:r w:rsidRPr="0094273C">
        <w:lastRenderedPageBreak/>
        <w:t xml:space="preserve">niemożliwym ominięcie obszarów Natura 2000, należy przewidzieć takie rozwiązania, które ograniczą potencjalny niekorzystny wpływ na obszar Natura 2000 np. poprzez zaprojektowanie bezkolizyjnych przejść dla zwierząt. </w:t>
      </w:r>
    </w:p>
    <w:p w:rsidR="0094273C" w:rsidRPr="0094273C" w:rsidRDefault="0094273C" w:rsidP="004D673E">
      <w:pPr>
        <w:pStyle w:val="Nagwek"/>
        <w:tabs>
          <w:tab w:val="clear" w:pos="4536"/>
          <w:tab w:val="center" w:pos="0"/>
        </w:tabs>
        <w:spacing w:line="276" w:lineRule="auto"/>
        <w:ind w:firstLine="567"/>
      </w:pPr>
      <w:r w:rsidRPr="0094273C">
        <w:t>Projekty będą mogły być zrealizowane tylko w przypadku, gdy na etapie oceny oddziaływania przedsięwzięcia na obszary Natura 2000, zostanie wykazany brak znaczących oddziaływań.</w:t>
      </w:r>
    </w:p>
    <w:p w:rsidR="0094273C" w:rsidRPr="0094273C" w:rsidRDefault="0094273C" w:rsidP="004D673E">
      <w:pPr>
        <w:pStyle w:val="Bezodstpw"/>
        <w:spacing w:line="276" w:lineRule="auto"/>
        <w:jc w:val="both"/>
      </w:pPr>
    </w:p>
    <w:p w:rsidR="0094273C" w:rsidRPr="0094273C" w:rsidRDefault="0094273C" w:rsidP="004D673E">
      <w:pPr>
        <w:pStyle w:val="Bezodstpw"/>
        <w:spacing w:line="276" w:lineRule="auto"/>
        <w:ind w:firstLine="567"/>
        <w:jc w:val="both"/>
      </w:pPr>
      <w:r w:rsidRPr="0094273C">
        <w:t>Biorąc pod uwagę analizy przeprowadzone w Prognozie nie przewiduje się aby realizacja poszczególnych typów projektów określonych w projekcie RPO powodowała takie zmiany w środowisku, aby zagrożona była spójność czynników strukturalnych i funkcjonalnych warunkujących zrównoważone trwanie populacji gatunków i siedlisk przyrodniczych, dla ochrony których zaprojektowano lub wyznaczono obszary Natura 2000.</w:t>
      </w:r>
    </w:p>
    <w:p w:rsidR="0094273C" w:rsidRPr="0094273C" w:rsidRDefault="0094273C" w:rsidP="004D673E">
      <w:pPr>
        <w:pStyle w:val="Nagwek3"/>
      </w:pPr>
      <w:bookmarkStart w:id="273" w:name="_Toc349130303"/>
      <w:bookmarkStart w:id="274" w:name="_Toc359241684"/>
      <w:bookmarkStart w:id="275" w:name="_Toc378314189"/>
      <w:bookmarkStart w:id="276" w:name="_Toc378314404"/>
      <w:bookmarkStart w:id="277" w:name="_Toc384300327"/>
      <w:bookmarkStart w:id="278" w:name="_Toc397925211"/>
      <w:bookmarkStart w:id="279" w:name="_Toc397925569"/>
      <w:r w:rsidRPr="0094273C">
        <w:t>Rozwiązania mające na celu zapobieganie, ograniczanie lub kompensację przyrodniczą negatywnych oddziaływań na środowisko, mogących być rezultatem realizacji projektu RPO, w szczególności na cele i przedmiot ochrony obszarów Natura 2000 oraz integralność tych obszarów</w:t>
      </w:r>
      <w:bookmarkEnd w:id="273"/>
      <w:bookmarkEnd w:id="274"/>
      <w:bookmarkEnd w:id="275"/>
      <w:bookmarkEnd w:id="276"/>
      <w:bookmarkEnd w:id="277"/>
      <w:bookmarkEnd w:id="278"/>
      <w:bookmarkEnd w:id="279"/>
      <w:r w:rsidRPr="0094273C">
        <w:t xml:space="preserve"> </w:t>
      </w:r>
    </w:p>
    <w:p w:rsidR="0094273C" w:rsidRPr="0094273C" w:rsidRDefault="0094273C" w:rsidP="004D673E">
      <w:pPr>
        <w:ind w:firstLine="567"/>
        <w:rPr>
          <w:i/>
        </w:rPr>
      </w:pPr>
      <w:r w:rsidRPr="0094273C">
        <w:t xml:space="preserve">Obligatoryjnym elementem strategicznej oceny oddziaływania na środowisko jest przedstawienie propozycji rozwiązań zapobiegających, ograniczających lub kompensujących negatywne oddziaływania na środowisko. Większość zawartych w projekcie RPO działań oraz spodziewanych ich efektów, zgodnie z analizą przeprowadzoną w pkt. 7 niniejszej Prognozy, oceniono jako pozytywne bądź neutralne w odniesieniu do środowiska, w tym w odniesieniu do obszarów Natura 2000. Część priorytetów inwestycyjnych wynika z wybranych do realizacji celów tematycznych, które dotyczą kwestii ochrony oraz poprawy stanu środowiska i stanowią podstawę niezbędnych działań. Należą do nich: cel tematyczny </w:t>
      </w:r>
      <w:r w:rsidRPr="0094273C">
        <w:rPr>
          <w:i/>
        </w:rPr>
        <w:t>4.</w:t>
      </w:r>
      <w:r w:rsidRPr="0094273C">
        <w:t xml:space="preserve"> </w:t>
      </w:r>
      <w:r w:rsidRPr="0094273C">
        <w:rPr>
          <w:i/>
        </w:rPr>
        <w:t>Wspieranie przejścia na gospodarkę niskoemisyjną we wszystkich sektorach</w:t>
      </w:r>
      <w:r w:rsidRPr="0094273C">
        <w:t xml:space="preserve">, w tym priorytety inwestycyjne </w:t>
      </w:r>
      <w:r w:rsidRPr="0094273C">
        <w:rPr>
          <w:i/>
        </w:rPr>
        <w:t xml:space="preserve">4.1. Wspieranie wytwarzania i dystrybucji energii pochodzącej ze źródeł odnawialnych, 4.3. Wspieranie efektywności energetycznej, inteligentnego zarządzania energią i wykorzystywania odnawialnych źródeł energii w infrastrukturze publicznej, w tym w budynkach publicznych i w sektorze mieszkaniowym, 4.5. Promowanie strategii niskoemisyjnych dla wszystkich rodzajów terytoriów, w szczególności dla obszarów miejskich, w tym wspieranie zrównoważonej multimodalnej mobilności miejskiej i działań adaptacyjnych mających oddziaływanie łagodzące zmiany klimatu, </w:t>
      </w:r>
      <w:r w:rsidRPr="0094273C">
        <w:t xml:space="preserve">cel tematyczny </w:t>
      </w:r>
      <w:r w:rsidRPr="0094273C">
        <w:rPr>
          <w:i/>
        </w:rPr>
        <w:t>5.</w:t>
      </w:r>
      <w:r w:rsidRPr="0094273C">
        <w:t xml:space="preserve"> </w:t>
      </w:r>
      <w:r w:rsidRPr="0094273C">
        <w:rPr>
          <w:i/>
        </w:rPr>
        <w:t>Promowanie dostosowania do zmian klimatu, zapobiegania ryzyku i zarządzania ryzykiem</w:t>
      </w:r>
      <w:r w:rsidRPr="0094273C">
        <w:t xml:space="preserve">, w tym priorytet inwestycyjny </w:t>
      </w:r>
      <w:r w:rsidRPr="0094273C">
        <w:rPr>
          <w:i/>
        </w:rPr>
        <w:t xml:space="preserve">5.2. Wspieranie inwestycji ukierunkowanych na konkretne rodzaje zagrożeń przy jednoczesnym zwiększeniu odporności na klęski i katastrofy i rozwijaniu systemów zarządzania klęskami i katastrofami, </w:t>
      </w:r>
      <w:r w:rsidRPr="0094273C">
        <w:t>cel tematyczny</w:t>
      </w:r>
      <w:r w:rsidRPr="0094273C">
        <w:rPr>
          <w:i/>
        </w:rPr>
        <w:t xml:space="preserve"> 6. Zachowanie i ochrona środowiska oraz promowanie efektywnego gospodarowania zasobami,</w:t>
      </w:r>
      <w:r w:rsidRPr="0094273C">
        <w:t xml:space="preserve"> w tym priorytety inwestycyjne </w:t>
      </w:r>
      <w:r w:rsidRPr="0094273C">
        <w:rPr>
          <w:i/>
        </w:rPr>
        <w:t xml:space="preserve">6.1. Inwestowanie w sektor gospodarki odpadami, celem wypełnienia zobowiązań określonych w dorobku prawnym Unii w zakresie środowiska oraz zaspokojenia wykraczających poza te zobowiązania potrzeb inwestycyjnych, określonych przez państwa członkowskie, 6.2. Inwestowanie w sektor gospodarki wodnej, celem wypełnienia zobowiązań określonych w dorobku prawnym Unii w zakresie środowiska oraz zaspokojenia wykraczających poza te zobowiązania potrzeb inwestycyjnych, określonych przez państwa członkowskie, 6.4. Ochrona i przywrócenie różnorodności biologicznej, ochrona i rekultywacja gleby oraz wspieranie usług ekosystemowych, także poprzez program „Natura </w:t>
      </w:r>
      <w:smartTag w:uri="urn:schemas-microsoft-com:office:smarttags" w:element="metricconverter">
        <w:smartTagPr>
          <w:attr w:name="ProductID" w:val="2000”"/>
        </w:smartTagPr>
        <w:r w:rsidRPr="0094273C">
          <w:rPr>
            <w:i/>
          </w:rPr>
          <w:t>2000”</w:t>
        </w:r>
      </w:smartTag>
      <w:r w:rsidRPr="0094273C">
        <w:rPr>
          <w:i/>
        </w:rPr>
        <w:t xml:space="preserve"> i zieloną </w:t>
      </w:r>
      <w:r w:rsidRPr="0094273C">
        <w:rPr>
          <w:i/>
        </w:rPr>
        <w:lastRenderedPageBreak/>
        <w:t>infrastrukturę, 6.5. Podejmowanie przedsięwzięć mających na celu poprawę stanu jakości środowiska miejskiego, rewitalizację miast, rekultywację i dekontaminację terenów poprzemysłowych (w tym terenów powojskowych), zmniejszenie zanieczyszczenia powietrza i propagowanie działań służących zmniejszeniu hałasu.</w:t>
      </w:r>
    </w:p>
    <w:p w:rsidR="0094273C" w:rsidRPr="0094273C" w:rsidRDefault="0094273C" w:rsidP="004D673E">
      <w:pPr>
        <w:ind w:firstLine="567"/>
      </w:pPr>
      <w:r w:rsidRPr="0094273C">
        <w:t xml:space="preserve">Przedstawienia rozwiązań zapobiegających i ograniczających negatywny wpływ wymagają te działania, którym w przeprowadzonej analizie i ocenie przypisano potencjalnie negatywne skutki środowiskowe, bądź skutki mieszane (pozytywne i negatywne) niezależnie od faktu, iż w wielu przypadkach będą to działania służące ochronie środowiska. Należą do nich priorytety inwestycyjne i przypisane im cele szczegółowe, których osiągnięcie potencjalnie wiązać się będzie z wyborem projektów o charakterze zamierzeń inwestycyjnych – przedsięwzięć, określone w ramach osi priorytetowych: </w:t>
      </w:r>
      <w:r w:rsidRPr="0094273C">
        <w:rPr>
          <w:b/>
        </w:rPr>
        <w:t>I. Konkurencyjna i innowacyjna gospodarka, III. Czysta energia, IV. Ochrona środowiska naturalnego i dziedzictwa kulturowego, V. Infrastruktura komunikacyjna, VI. Spójność przestrzenna i społeczna</w:t>
      </w:r>
      <w:r w:rsidRPr="0094273C">
        <w:t xml:space="preserve">, a mianowicie priorytet inwestycyjny: </w:t>
      </w:r>
      <w:r w:rsidRPr="0094273C">
        <w:rPr>
          <w:i/>
        </w:rPr>
        <w:t>3.1. Promowanie przedsiębiorczości, w szczególności poprzez ułatwianie gospodarczego wykorzystywania nowych pomysłów oraz sprzyjanie tworzeniu nowych firm, w tym również poprzez inkubatory przedsiębiorczości, 3.3. Wspieranie tworzenia i poszerzania zaawansowanych zdolności w zakresie rozwoju produktów i usług, 4.1. Wspieranie wytwarzania i dystrybucji energii pochodzącej ze źródeł odnawialnych, 5.2. Wspieranie inwestycji ukierunkowanych na konkretne rodzaje zagrożeń przy jednoczesnym zwiększeniu odporności na klęski i katastrofy i rozwijaniu systemów zarządzania klęskami i katastrofami, 6.1. Inwestowanie w sektor gospodarki odpadami, celem wypełnienia zobowiązań określonych w dorobku prawnym Unii w zakresie środowiska oraz zaspokojenia wykraczających poza te zobowiązania potrzeb inwestycyjnych, określonych przez państwa członkowskie,  6.2. Inwestowanie w sektor gospodarki wodnej, celem wypełnienia zobowiązań określonych w dorobku prawnym Unii w zakresie środowiska oraz zaspokojenia wykraczających poza te zobowiązania potrzeb inwestycyjnych, określonych przez państwa członkowskie</w:t>
      </w:r>
      <w:r w:rsidRPr="0094273C">
        <w:rPr>
          <w:i/>
          <w:lang w:bidi="en-US"/>
        </w:rPr>
        <w:t>,</w:t>
      </w:r>
      <w:r w:rsidRPr="0094273C">
        <w:rPr>
          <w:i/>
        </w:rPr>
        <w:t xml:space="preserve"> 7.2. Zwiększanie mobilności regionalnej poprzez łączenie węzłów drugorzędnych i trzeciorzędnych z infrastrukturą TEN-T, w tym z węzłami multimodalnymi, 7.4. Rozwój i rehabilitacja kompleksowych, wysokiej jakości i interpolacyjnych systemów transportu kolejowego oraz propagowanie działań służących zmniejszeniu hałasu, 8.2. Wspieranie wzrostu gospodarczego sprzyjającego zatrudnieniu poprzez rozwój potencjału endogenicznego jako elementu strategii terytorialnej dla określonych obszarów, w tym poprzez przekształcenie upadających regionów przemysłowych i zwiększenie dostępu do określonych zasobów naturalnych i kulturalnych oraz ich rozwój. </w:t>
      </w:r>
      <w:r w:rsidRPr="0094273C">
        <w:t xml:space="preserve">W ramach wymienionych priorytetów inwestycyjnych mogą zostać wybrane do realizacji, poprzez alokację środków, projekty wiążące się z potencjalną ingerencją w środowisko. Do podstawowych, potencjalnych zagrożeń środowiska, jakie mogą wynikać z realizacji prawdopodobnych inwestycji należą: </w:t>
      </w:r>
    </w:p>
    <w:p w:rsidR="0094273C" w:rsidRPr="0094273C" w:rsidRDefault="0094273C" w:rsidP="006E6138">
      <w:pPr>
        <w:numPr>
          <w:ilvl w:val="0"/>
          <w:numId w:val="114"/>
        </w:numPr>
        <w:spacing w:after="0"/>
        <w:ind w:hanging="294"/>
      </w:pPr>
      <w:r w:rsidRPr="0094273C">
        <w:t>zmniejszanie przestrzeni otwartych i powierzchni biologicznie czynnych, w tym: na terenach wiejskich, miejskich i w obrębie terenów podmiejskich;</w:t>
      </w:r>
    </w:p>
    <w:p w:rsidR="0094273C" w:rsidRPr="0094273C" w:rsidRDefault="0094273C" w:rsidP="006E6138">
      <w:pPr>
        <w:numPr>
          <w:ilvl w:val="0"/>
          <w:numId w:val="114"/>
        </w:numPr>
        <w:spacing w:after="0"/>
        <w:ind w:hanging="294"/>
      </w:pPr>
      <w:r w:rsidRPr="0094273C">
        <w:t xml:space="preserve">fragmentacja przestrzeni, w tym tworzenie barier dla migracji gatunków oraz barier w odniesieniu do zachowania i tworzenia ciągłości korytarzy ekologicznych, skutkujących fragmentacją i ubożeniem biotopów; </w:t>
      </w:r>
    </w:p>
    <w:p w:rsidR="0094273C" w:rsidRPr="0094273C" w:rsidRDefault="0094273C" w:rsidP="006E6138">
      <w:pPr>
        <w:numPr>
          <w:ilvl w:val="0"/>
          <w:numId w:val="114"/>
        </w:numPr>
        <w:spacing w:after="0"/>
        <w:ind w:hanging="294"/>
      </w:pPr>
      <w:r w:rsidRPr="0094273C">
        <w:t>presja na tereny cenne przyrodniczo i ważne dla zachowania bioróżnorodności.</w:t>
      </w:r>
    </w:p>
    <w:p w:rsidR="0094273C" w:rsidRPr="0094273C" w:rsidRDefault="0094273C" w:rsidP="004D673E">
      <w:pPr>
        <w:ind w:firstLine="567"/>
      </w:pPr>
    </w:p>
    <w:p w:rsidR="0094273C" w:rsidRPr="0094273C" w:rsidRDefault="0094273C" w:rsidP="004D673E">
      <w:pPr>
        <w:ind w:firstLine="567"/>
      </w:pPr>
      <w:r w:rsidRPr="0094273C">
        <w:lastRenderedPageBreak/>
        <w:t>Rozwiązania mające na celu zapobieganie i ograniczanie potencjalnych negatywnych oddziaływań na środowisko mogących być rezultatem realizacji części zamierzeń winny polegać na:</w:t>
      </w:r>
    </w:p>
    <w:p w:rsidR="0094273C" w:rsidRPr="0094273C" w:rsidRDefault="0094273C" w:rsidP="006E6138">
      <w:pPr>
        <w:numPr>
          <w:ilvl w:val="0"/>
          <w:numId w:val="115"/>
        </w:numPr>
        <w:spacing w:after="0"/>
        <w:ind w:hanging="294"/>
      </w:pPr>
      <w:r w:rsidRPr="0094273C">
        <w:t xml:space="preserve">unikaniu kolizyjnych przebiegów liniowych elementów infrastrukturalnych z obszarami cennymi przyrodniczo, w tym obszarami Natura 2000, obszarami cennych krajobrazów oraz z obszarami o predyspozycjach do rozwoju turystyki, powinny w najmniejszym stopniu (zwłaszcza inwestycje transportowe) ingerować w ciągłość korytarzy ekologicznych zarówno leśnych jak i rzecznych; </w:t>
      </w:r>
    </w:p>
    <w:p w:rsidR="0094273C" w:rsidRPr="0094273C" w:rsidRDefault="0094273C" w:rsidP="006E6138">
      <w:pPr>
        <w:numPr>
          <w:ilvl w:val="0"/>
          <w:numId w:val="115"/>
        </w:numPr>
        <w:spacing w:after="0"/>
        <w:ind w:hanging="294"/>
      </w:pPr>
      <w:r w:rsidRPr="0094273C">
        <w:t xml:space="preserve">realizacji rozwoju i modernizacji inwestycji drogowych oraz inwestycji związanych z rozwojem sieci elektroenergetycznej służącej dystrybucji energii z odnawialnych źródeł energii (OZE), z uwzględnieniem ochrony ludzi przed negatywnym oddziaływaniem; </w:t>
      </w:r>
    </w:p>
    <w:p w:rsidR="0094273C" w:rsidRPr="0094273C" w:rsidRDefault="0094273C" w:rsidP="006E6138">
      <w:pPr>
        <w:numPr>
          <w:ilvl w:val="0"/>
          <w:numId w:val="115"/>
        </w:numPr>
        <w:spacing w:after="0"/>
        <w:ind w:hanging="294"/>
      </w:pPr>
      <w:r w:rsidRPr="0094273C">
        <w:t>stosowaniu rozwiązań ograniczających negatywne oddziaływanie infrastruktury komunikacyjnej na ludzi (m.in. ekrany akustyczne, zieleń izolacyjna, ciche nawierzchnie); na środowisko wodne (separatory związków ropopochodnych dla spływów zanieczyszczonych wód z pasów drogowych) oraz na środowisko biotyczne (m.in. przejścia dla migrujących zwierząt, okratowania urządzeń odwadniających pasy drogowe),</w:t>
      </w:r>
    </w:p>
    <w:p w:rsidR="0094273C" w:rsidRPr="0094273C" w:rsidRDefault="0094273C" w:rsidP="006E6138">
      <w:pPr>
        <w:numPr>
          <w:ilvl w:val="0"/>
          <w:numId w:val="115"/>
        </w:numPr>
        <w:spacing w:after="0"/>
        <w:ind w:hanging="294"/>
      </w:pPr>
      <w:r w:rsidRPr="0094273C">
        <w:t xml:space="preserve">unikaniu kolizyjnych lokalizacji zamierzeń inwestycyjnych energetyki wykorzystującej odnawialne źródła energii z obszarami prawnej ochrony przyrody, w tym obszarami Natura 2000 oraz obszarami ważnymi z punktu widzenia ochrony krajobrazu i bioróżnorodności, </w:t>
      </w:r>
    </w:p>
    <w:p w:rsidR="0094273C" w:rsidRPr="0094273C" w:rsidRDefault="0094273C" w:rsidP="006E6138">
      <w:pPr>
        <w:numPr>
          <w:ilvl w:val="0"/>
          <w:numId w:val="115"/>
        </w:numPr>
        <w:spacing w:after="0"/>
        <w:ind w:hanging="294"/>
      </w:pPr>
      <w:r w:rsidRPr="0094273C">
        <w:t>realizacji rozwoju OZE, zwłaszcza energetyki wiatrowej, z uwzględnieniem ochrony akustycznej ludzi,</w:t>
      </w:r>
    </w:p>
    <w:p w:rsidR="0094273C" w:rsidRPr="0094273C" w:rsidRDefault="0094273C" w:rsidP="006E6138">
      <w:pPr>
        <w:numPr>
          <w:ilvl w:val="0"/>
          <w:numId w:val="115"/>
        </w:numPr>
        <w:spacing w:after="0"/>
        <w:ind w:hanging="294"/>
      </w:pPr>
      <w:r w:rsidRPr="0094273C">
        <w:t>stosowaniu rozwiązań ograniczających negatywne oddziaływanie OZE (energetyki wodnej) na faunę wodną, m.in.: stosowanie przepławek dla ryb,</w:t>
      </w:r>
    </w:p>
    <w:p w:rsidR="0094273C" w:rsidRPr="0094273C" w:rsidRDefault="0094273C" w:rsidP="006E6138">
      <w:pPr>
        <w:numPr>
          <w:ilvl w:val="0"/>
          <w:numId w:val="115"/>
        </w:numPr>
        <w:spacing w:after="0"/>
        <w:ind w:hanging="294"/>
      </w:pPr>
      <w:r w:rsidRPr="0094273C">
        <w:t xml:space="preserve">unikaniu realizacji zamierzeń inwestycyjnych technicznej ochrony przed zagrożeniami powodziowymi (zbiorniki retencyjne), na terenach cennych przyrodniczo i ważnych dla zachowania bioróżnorodności; </w:t>
      </w:r>
    </w:p>
    <w:p w:rsidR="0094273C" w:rsidRPr="0094273C" w:rsidRDefault="0094273C" w:rsidP="006E6138">
      <w:pPr>
        <w:numPr>
          <w:ilvl w:val="0"/>
          <w:numId w:val="115"/>
        </w:numPr>
        <w:spacing w:after="0"/>
        <w:ind w:hanging="294"/>
      </w:pPr>
      <w:r w:rsidRPr="0094273C">
        <w:t>dbałości o najmniejszą kolizyjność rozwoju infrastruktury dla turystyki i rekreacji z obszarami cennymi pod względem przyrodniczym i ważnymi dla zachowania bioróżnorodności,</w:t>
      </w:r>
    </w:p>
    <w:p w:rsidR="0094273C" w:rsidRPr="0094273C" w:rsidRDefault="0094273C" w:rsidP="006E6138">
      <w:pPr>
        <w:numPr>
          <w:ilvl w:val="0"/>
          <w:numId w:val="115"/>
        </w:numPr>
        <w:spacing w:after="0"/>
        <w:ind w:hanging="294"/>
      </w:pPr>
      <w:r w:rsidRPr="0094273C">
        <w:t xml:space="preserve">stosowaniu zasady wariantowania lokalizacyjnego i technologicznego przy realizacji wszystkich zamierzeń inwestycyjnych, pozwalającej na wybór wariantu optymalnego z punktu widzenia ochrony środowiska. </w:t>
      </w:r>
    </w:p>
    <w:p w:rsidR="0094273C" w:rsidRPr="0094273C" w:rsidRDefault="0094273C" w:rsidP="004D673E">
      <w:pPr>
        <w:ind w:firstLine="567"/>
      </w:pPr>
      <w:r w:rsidRPr="0094273C">
        <w:t>Wszystkie proponowane rozwiązania zapobiegające i ograniczające potencjalnie negatywne oddziaływania na środowisko winny być uwzględniane w procedurze kwalifikacji projektów do wsparcia z funduszy strukturalnych. Istotnym jest by decyzję o alokacji środków dla projektów, które wiązać się mogą z potencjalną ingerencją w środowisko, poprzedzała ich szczegółowa analiza pod kątem zastosowanych rozwiązań ograniczających potencjalne, negatywne skutki środowiskowe. W kryteriach oceny projektów za zastosowanie takich rozwiązań winny być przyznawane dodatkowe punkty.</w:t>
      </w:r>
    </w:p>
    <w:p w:rsidR="0094273C" w:rsidRPr="0094273C" w:rsidRDefault="0094273C" w:rsidP="004D673E">
      <w:pPr>
        <w:ind w:firstLine="567"/>
        <w:rPr>
          <w:i/>
        </w:rPr>
      </w:pPr>
      <w:r w:rsidRPr="0094273C">
        <w:t xml:space="preserve">Celem zapewnienia powyższego sugeruje się uzupełnienie opisów kierunkowych zasad wyboru projektów priorytetów inwestycyjnych o zapisy typu: </w:t>
      </w:r>
      <w:r w:rsidRPr="0094273C">
        <w:rPr>
          <w:i/>
        </w:rPr>
        <w:t xml:space="preserve">Premiowane będą projekty zapewniające minimalizację skutków środowiskowych, w szczególności w odniesieniu do celów i przedmiotów ochrony obszarów Natura 2000 oraz integralności tych obszarów. </w:t>
      </w:r>
    </w:p>
    <w:p w:rsidR="0094273C" w:rsidRPr="0094273C" w:rsidRDefault="0094273C" w:rsidP="004D673E">
      <w:pPr>
        <w:ind w:firstLine="567"/>
      </w:pPr>
      <w:r w:rsidRPr="0094273C">
        <w:lastRenderedPageBreak/>
        <w:t xml:space="preserve">W odniesieniu do dokumentu o tak dużym stopniu ogólności, jakim jest projekt RPO, utrudnione jest zaproponowanie rozwiązań mających na celu kompensację przyrodniczą negatywnych oddziaływań na środowisko. Taka możliwość i potrzeba może powstać jako wynik oceny oddziaływania na środowisko przedsięwzięcia, przy realizacji konkretnych zamierzeń inwestycyjnych, wynikających z wyboru konkretnego projektu. Będzie to miało miejsce na etapie procesów decyzyjnych (plany zagospodarowania przestrzennego, decyzje administracyjne). </w:t>
      </w:r>
    </w:p>
    <w:p w:rsidR="0094273C" w:rsidRPr="0094273C" w:rsidRDefault="0094273C" w:rsidP="004D673E">
      <w:pPr>
        <w:pStyle w:val="Nagwek3"/>
      </w:pPr>
      <w:bookmarkStart w:id="280" w:name="_Toc349130304"/>
      <w:bookmarkStart w:id="281" w:name="_Toc359241685"/>
      <w:bookmarkStart w:id="282" w:name="_Toc378314190"/>
      <w:bookmarkStart w:id="283" w:name="_Toc378314405"/>
      <w:bookmarkStart w:id="284" w:name="_Toc384300328"/>
      <w:bookmarkStart w:id="285" w:name="_Toc397925212"/>
      <w:bookmarkStart w:id="286" w:name="_Toc397925570"/>
      <w:r w:rsidRPr="0094273C">
        <w:t xml:space="preserve">Rozwiązania alternatywne do rozwiązań zawartych w projekcie </w:t>
      </w:r>
      <w:bookmarkEnd w:id="280"/>
      <w:bookmarkEnd w:id="281"/>
      <w:r w:rsidRPr="0094273C">
        <w:t>RPO</w:t>
      </w:r>
      <w:bookmarkEnd w:id="282"/>
      <w:bookmarkEnd w:id="283"/>
      <w:bookmarkEnd w:id="284"/>
      <w:bookmarkEnd w:id="285"/>
      <w:bookmarkEnd w:id="286"/>
      <w:r w:rsidRPr="0094273C">
        <w:t xml:space="preserve"> </w:t>
      </w:r>
    </w:p>
    <w:p w:rsidR="0094273C" w:rsidRPr="0094273C" w:rsidRDefault="0094273C" w:rsidP="004D673E">
      <w:pPr>
        <w:pStyle w:val="Bezodstpw"/>
        <w:spacing w:line="276" w:lineRule="auto"/>
        <w:ind w:firstLine="567"/>
        <w:jc w:val="both"/>
      </w:pPr>
      <w:r w:rsidRPr="0094273C">
        <w:t xml:space="preserve">Projekt RPO jest dokumentem o dużym stopniu ogólności i ma charakter dokumentu operacyjnego, pokazującego poprzez jakie cele i działania realizowane będą założenia Strategii Rozwoju Województwa – Podkarpackie 2020 w kwestii dążenia do określonego, docelowego wizerunku województwa. W nawiązaniu do celów strategicznych Strategii, które na zasadzie hierarchiczności są zgodne z celami Strategii „Europa </w:t>
      </w:r>
      <w:smartTag w:uri="urn:schemas-microsoft-com:office:smarttags" w:element="metricconverter">
        <w:smartTagPr>
          <w:attr w:name="ProductID" w:val="2020”"/>
        </w:smartTagPr>
        <w:r w:rsidRPr="0094273C">
          <w:t>2020”</w:t>
        </w:r>
      </w:smartTag>
      <w:r w:rsidRPr="0094273C">
        <w:t xml:space="preserve"> (Europa 2020. Strategia na rzecz inteligentnego i zrównoważonego rozwoju sprzyjającego włączeniu społecznemu) projekt wskazuje cele i działania w ramach osi priorytetowych, jakie przewidziane zostały do wsparcia ze środków Unii Europejskiej w okresie 2014-2020. Wskazane cele i działania są zgodne z priorytetami inwestycyjnymi w ramach funduszy strukturalnych. Priorytety inwestycyjne stanowią z kolei przełożenie celów i priorytetów Strategii „Europa </w:t>
      </w:r>
      <w:smartTag w:uri="urn:schemas-microsoft-com:office:smarttags" w:element="metricconverter">
        <w:smartTagPr>
          <w:attr w:name="ProductID" w:val="2020”"/>
        </w:smartTagPr>
        <w:r w:rsidRPr="0094273C">
          <w:t>2020”</w:t>
        </w:r>
      </w:smartTag>
      <w:r w:rsidRPr="0094273C">
        <w:t xml:space="preserve">. </w:t>
      </w:r>
    </w:p>
    <w:p w:rsidR="0094273C" w:rsidRPr="0094273C" w:rsidRDefault="0094273C" w:rsidP="004D673E">
      <w:pPr>
        <w:ind w:firstLine="567"/>
      </w:pPr>
      <w:r w:rsidRPr="0094273C">
        <w:t xml:space="preserve">Wobec powyższego nie zachodzi potrzeba przedstawiania rozwiązań alternatywnych do ogólnych założeń RPO zgodnych z dokumentami nadrzędnymi, które ze skutkiem pozytywnym, przeszły już procedury strategicznych ocen oddziaływania na środowisko. </w:t>
      </w:r>
    </w:p>
    <w:p w:rsidR="0094273C" w:rsidRPr="0094273C" w:rsidRDefault="0094273C" w:rsidP="004D673E">
      <w:pPr>
        <w:ind w:firstLine="567"/>
        <w:rPr>
          <w:i/>
        </w:rPr>
      </w:pPr>
      <w:r w:rsidRPr="0094273C">
        <w:t xml:space="preserve">Analizowany projekt RPO w ramach wyodrębnionych osi priorytetowych i przypisanych im celów oraz wybranych priorytetów inwestycyjnych wraz z celami szczegółowymi wskazuje typy projektów przewidzianych do wsparcia, z których część wiązać się będzie z zamierzeniami inwestycyjnymi. Etapem właściwym dla alternatywnych wyborów będzie etap kwalifikacji projektów do realizacji i alokacji środków. Zaistnieje wówczas możliwość wyboru najmniej kolizyjnej lokalizacji oraz wyboru projektu stosującego rozwiązania minimalizujące potencjalny negatywny wpływ, w szczególności w odniesieniu do obszarów Natura 2000. Taką możliwość stwarza zaproponowane w pkt. 9 niniejszej Prognozy uzupełnienie opisów kierunkowych zasad wyboru projektów priorytetów inwestycyjnych o zapisy w przykładowym brzmieniu: </w:t>
      </w:r>
      <w:r w:rsidRPr="0094273C">
        <w:rPr>
          <w:i/>
        </w:rPr>
        <w:t xml:space="preserve">Premiowane będą projekty zapewniające minimalizację skutków środowiskowych, w szczególności w odniesieniu do celów  przedmiotów ochrony obszarów Natura 2000 oraz integralności tych obszarów. </w:t>
      </w:r>
    </w:p>
    <w:p w:rsidR="0094273C" w:rsidRPr="0094273C" w:rsidRDefault="0094273C" w:rsidP="004D673E">
      <w:pPr>
        <w:pStyle w:val="Nagwek3"/>
      </w:pPr>
      <w:bookmarkStart w:id="287" w:name="_Toc349130305"/>
      <w:bookmarkStart w:id="288" w:name="_Toc359241686"/>
      <w:bookmarkStart w:id="289" w:name="_Toc378314191"/>
      <w:bookmarkStart w:id="290" w:name="_Toc378314406"/>
      <w:bookmarkStart w:id="291" w:name="_Toc384300329"/>
      <w:bookmarkStart w:id="292" w:name="_Toc397925213"/>
      <w:bookmarkStart w:id="293" w:name="_Toc397925571"/>
      <w:r w:rsidRPr="0094273C">
        <w:t>Propozycje dotyczące przewidywanych metod analizy skutków realizacji postanowień projektu RPO oraz częstotliwości jej przeprowadzania</w:t>
      </w:r>
      <w:bookmarkEnd w:id="287"/>
      <w:bookmarkEnd w:id="288"/>
      <w:bookmarkEnd w:id="289"/>
      <w:bookmarkEnd w:id="290"/>
      <w:bookmarkEnd w:id="291"/>
      <w:bookmarkEnd w:id="292"/>
      <w:bookmarkEnd w:id="293"/>
    </w:p>
    <w:p w:rsidR="0094273C" w:rsidRPr="0094273C" w:rsidRDefault="0094273C" w:rsidP="004D673E">
      <w:pPr>
        <w:ind w:firstLine="567"/>
      </w:pPr>
      <w:r w:rsidRPr="0094273C">
        <w:t xml:space="preserve">Wiodącą instytucją w Polsce odpowiedzialną za koordynację prac strategicznych i zarządczych nad programami operacyjnymi jest minister właściwy ds. rozwoju regionalnego Poziom strategiczny programów nadzoruje Komitet Koordynacyjny pod przewodnictwem ministra właściwego ds. rozwoju regionalnego. </w:t>
      </w:r>
    </w:p>
    <w:p w:rsidR="0094273C" w:rsidRPr="0094273C" w:rsidRDefault="0094273C" w:rsidP="004D673E">
      <w:pPr>
        <w:pStyle w:val="Nagwek4"/>
      </w:pPr>
      <w:bookmarkStart w:id="294" w:name="_Toc349130306"/>
      <w:bookmarkStart w:id="295" w:name="_Toc359241687"/>
      <w:bookmarkStart w:id="296" w:name="_Toc378314192"/>
      <w:bookmarkStart w:id="297" w:name="_Toc378314407"/>
      <w:bookmarkStart w:id="298" w:name="_Toc384300330"/>
      <w:bookmarkStart w:id="299" w:name="_Toc397925214"/>
      <w:bookmarkStart w:id="300" w:name="_Toc397925572"/>
      <w:r w:rsidRPr="0094273C">
        <w:t xml:space="preserve">Instrumenty realizacji projektu </w:t>
      </w:r>
      <w:bookmarkEnd w:id="294"/>
      <w:bookmarkEnd w:id="295"/>
      <w:r w:rsidRPr="0094273C">
        <w:t>RPO</w:t>
      </w:r>
      <w:bookmarkEnd w:id="296"/>
      <w:bookmarkEnd w:id="297"/>
      <w:bookmarkEnd w:id="298"/>
      <w:bookmarkEnd w:id="299"/>
      <w:bookmarkEnd w:id="300"/>
    </w:p>
    <w:p w:rsidR="0094273C" w:rsidRPr="0094273C" w:rsidRDefault="0094273C" w:rsidP="004D673E">
      <w:pPr>
        <w:ind w:firstLine="567"/>
      </w:pPr>
      <w:r w:rsidRPr="0094273C">
        <w:t xml:space="preserve">Organem odpowiedzialnym za realizację projektu RPO jest Zarząd Województwa Podkarpackiego jako Instytucja Zarządzająca przy udziale Komitetu Monitorującego oraz wyznaczonych podkomitetów, grup roboczych. W wymiarze terytorialnym realizacja odnosi się do </w:t>
      </w:r>
      <w:r w:rsidRPr="0094273C">
        <w:lastRenderedPageBreak/>
        <w:t>głównych obszarów strategicznej interwencji państwa wskazanych w Krajowej Strategii Rozwoju Regionalnego:</w:t>
      </w:r>
    </w:p>
    <w:p w:rsidR="0094273C" w:rsidRPr="0094273C" w:rsidRDefault="0094273C" w:rsidP="006E6138">
      <w:pPr>
        <w:numPr>
          <w:ilvl w:val="0"/>
          <w:numId w:val="116"/>
        </w:numPr>
        <w:spacing w:after="0"/>
        <w:ind w:hanging="294"/>
      </w:pPr>
      <w:r w:rsidRPr="0094273C">
        <w:t>obszarów miejskich: miasta wojewódzkiego i jego obszaru funkcjonalnego, miast i dzielnic wymagających rewitalizacji, miast subregionalnych,</w:t>
      </w:r>
    </w:p>
    <w:p w:rsidR="0094273C" w:rsidRPr="0094273C" w:rsidRDefault="0094273C" w:rsidP="006E6138">
      <w:pPr>
        <w:numPr>
          <w:ilvl w:val="0"/>
          <w:numId w:val="116"/>
        </w:numPr>
        <w:spacing w:after="0"/>
        <w:ind w:hanging="294"/>
      </w:pPr>
      <w:r w:rsidRPr="0094273C">
        <w:t>obszarów wiejskich,</w:t>
      </w:r>
    </w:p>
    <w:p w:rsidR="0094273C" w:rsidRPr="0094273C" w:rsidRDefault="0094273C" w:rsidP="006E6138">
      <w:pPr>
        <w:numPr>
          <w:ilvl w:val="0"/>
          <w:numId w:val="116"/>
        </w:numPr>
        <w:spacing w:after="0"/>
        <w:ind w:hanging="294"/>
      </w:pPr>
      <w:r w:rsidRPr="0094273C">
        <w:t>obszarów przygranicznych,</w:t>
      </w:r>
    </w:p>
    <w:p w:rsidR="0094273C" w:rsidRPr="0094273C" w:rsidRDefault="0094273C" w:rsidP="006E6138">
      <w:pPr>
        <w:numPr>
          <w:ilvl w:val="0"/>
          <w:numId w:val="116"/>
        </w:numPr>
        <w:spacing w:after="0"/>
        <w:ind w:hanging="294"/>
      </w:pPr>
      <w:r w:rsidRPr="0094273C">
        <w:t>obszarów Polski Wschodniej.</w:t>
      </w:r>
    </w:p>
    <w:p w:rsidR="0094273C" w:rsidRPr="0094273C" w:rsidRDefault="0094273C" w:rsidP="004D673E">
      <w:pPr>
        <w:ind w:firstLine="574"/>
      </w:pPr>
      <w:r w:rsidRPr="0094273C">
        <w:t xml:space="preserve">Zintegrowane Inwestycje Terytorialne adresowane do Rzeszowskiego Obszaru Funkcjonalnego oraz Regionalne Inwestycje Terytorialne odnoszące się do regionalnych biegunów wzrostu określonych w Strategii Rozwoju Województwa – Podkarpackie 2020 pozwolą na prowadzenie kompleksowych działań w ramach miejskich obszarów funkcjonalnych. </w:t>
      </w:r>
      <w:r w:rsidRPr="0094273C">
        <w:rPr>
          <w:spacing w:val="4"/>
        </w:rPr>
        <w:t>Możliwe będzie również tworzenie projektów w partnerstwie kilku samorządów lub w formule partnerstwa publiczno-prywatnego, dotyczące wybranych obszarów tematycznych i geograficznych</w:t>
      </w:r>
      <w:r w:rsidRPr="0094273C">
        <w:t>.</w:t>
      </w:r>
    </w:p>
    <w:p w:rsidR="0094273C" w:rsidRPr="0094273C" w:rsidRDefault="0094273C" w:rsidP="004D673E">
      <w:pPr>
        <w:ind w:firstLine="567"/>
      </w:pPr>
      <w:r w:rsidRPr="0094273C">
        <w:t xml:space="preserve">Sposób realizacji RPO wynika z odpowiednich przepisów rozporządzeń. Określają one zasady funkcjonowania systemu: </w:t>
      </w:r>
      <w:r w:rsidRPr="0094273C">
        <w:rPr>
          <w:b/>
        </w:rPr>
        <w:t>zarządzania finansowego, informatycznego, kontroli, monitoringu, ewaluacji oraz informacji i promocji</w:t>
      </w:r>
      <w:r w:rsidRPr="0094273C">
        <w:t>.</w:t>
      </w:r>
    </w:p>
    <w:p w:rsidR="0094273C" w:rsidRPr="0094273C" w:rsidRDefault="0094273C" w:rsidP="004D673E">
      <w:pPr>
        <w:pStyle w:val="Nagwek4"/>
      </w:pPr>
      <w:bookmarkStart w:id="301" w:name="_Toc349130307"/>
      <w:bookmarkStart w:id="302" w:name="_Toc359241688"/>
      <w:bookmarkStart w:id="303" w:name="_Toc378314193"/>
      <w:bookmarkStart w:id="304" w:name="_Toc378314408"/>
      <w:bookmarkStart w:id="305" w:name="_Toc384300331"/>
      <w:bookmarkStart w:id="306" w:name="_Toc397925215"/>
      <w:bookmarkStart w:id="307" w:name="_Toc397925573"/>
      <w:r w:rsidRPr="0094273C">
        <w:t xml:space="preserve">Monitoring i ocena realizacji projektu </w:t>
      </w:r>
      <w:bookmarkEnd w:id="301"/>
      <w:bookmarkEnd w:id="302"/>
      <w:r w:rsidRPr="0094273C">
        <w:t>RPO</w:t>
      </w:r>
      <w:bookmarkEnd w:id="303"/>
      <w:bookmarkEnd w:id="304"/>
      <w:bookmarkEnd w:id="305"/>
      <w:bookmarkEnd w:id="306"/>
      <w:bookmarkEnd w:id="307"/>
    </w:p>
    <w:p w:rsidR="0094273C" w:rsidRPr="0094273C" w:rsidRDefault="0094273C" w:rsidP="004D673E">
      <w:pPr>
        <w:ind w:firstLine="567"/>
      </w:pPr>
      <w:r w:rsidRPr="0094273C">
        <w:t>Projekt RPO jest narzędziem służącym zarządzaniu funduszami przewidzianymi na realizację wybranych inwestycji w latach 2014-2020. Dokument musi podlegać monitorowaniu oraz ocenie i weryfikacji zawartych w nim celów i priorytetów. System monitorowania będzie obejmować realizację założonych celów RPO, wypełniania warunków koncentracji tematycznej oraz zachowania minimalnego poziomu alokacji na zatrudnienie, wykluczenie społeczne i edukację oraz kwot alokowanych w zakresie celu dotyczącego zmian klimatu.</w:t>
      </w:r>
    </w:p>
    <w:p w:rsidR="0094273C" w:rsidRPr="0094273C" w:rsidRDefault="0094273C" w:rsidP="004D673E">
      <w:pPr>
        <w:autoSpaceDE w:val="0"/>
        <w:autoSpaceDN w:val="0"/>
        <w:adjustRightInd w:val="0"/>
        <w:ind w:firstLine="567"/>
      </w:pPr>
      <w:r w:rsidRPr="0094273C">
        <w:t xml:space="preserve">Monitorowanie i ocena RPO będą prowadzone przez Instytucję Zarządzającą (IZ) oraz Komitet </w:t>
      </w:r>
      <w:r w:rsidRPr="0094273C">
        <w:rPr>
          <w:bCs/>
        </w:rPr>
        <w:t xml:space="preserve">Monitorujący (KM) </w:t>
      </w:r>
      <w:r w:rsidRPr="0094273C">
        <w:t>na zasadach określonych w Rozporządzeniu PEiR (UE) Nr 1303/2013 z dnia 17 grudnia 2013 r., które zakłada opracowanie w 2019 roku oceny z wykonania RPO. Podstawą wykonania oceny będzie przygotowanie analizy w oparciu o wskaźniki produktu i wskaźniki finansowe wyznaczające wartości pośrednie dla roku 2018. IZ będzie również przedstawiać KE kwartalne informacje dotyczące wydatków kwalifikowanych oraz roczne sprawozdania z realizacji programu odnoszące się do poprzedniego roku budżetowego. Najbliższe sprawozdanie zostanie złożone do KE w 2017 r. i obejmować będzie okres za 2016 r.</w:t>
      </w:r>
    </w:p>
    <w:p w:rsidR="0094273C" w:rsidRPr="0094273C" w:rsidRDefault="0094273C" w:rsidP="004D673E">
      <w:pPr>
        <w:ind w:firstLine="567"/>
      </w:pPr>
      <w:r w:rsidRPr="0094273C">
        <w:t xml:space="preserve">Przyjęty system monitorowania RPO opiera się na: </w:t>
      </w:r>
      <w:r w:rsidRPr="0094273C">
        <w:rPr>
          <w:b/>
        </w:rPr>
        <w:t>wskaźnikach rezultatu (strategicznych)</w:t>
      </w:r>
      <w:r w:rsidRPr="0094273C">
        <w:t xml:space="preserve"> oceniających cele szczegółowe osi priorytetowych, opisujących zmiany zachodzące w sferze społeczno-ekonomicznej obszaru działań oraz na </w:t>
      </w:r>
      <w:r w:rsidRPr="0094273C">
        <w:rPr>
          <w:b/>
        </w:rPr>
        <w:t>wskaźnikach produktu</w:t>
      </w:r>
      <w:r w:rsidRPr="0094273C">
        <w:t xml:space="preserve"> oceniających postęp rzeczowy rozwoju, odnoszących się do przedsięwzięć i inwestycji przewidzianych do finansowania.</w:t>
      </w:r>
    </w:p>
    <w:p w:rsidR="0094273C" w:rsidRPr="0094273C" w:rsidRDefault="0094273C" w:rsidP="004D673E">
      <w:pPr>
        <w:ind w:firstLine="567"/>
      </w:pPr>
      <w:r w:rsidRPr="0094273C">
        <w:t xml:space="preserve">Dla wszystkich wskazanych wskaźników przewiduje się coroczne raportowanie. Źródłem danych w zależności od wskaźnika jest: GUS, WUS w Rzeszowie, RDOŚ w Rzeszowie, Instytut Geografii i Przestrzennego Zagospodarowania Polskiej Akademii Nauk (IGiPZ PAN), Wojewódzki System Odpadowy (WSO), Beneficjenci, Instytucja Zarządzająca. Monitorowanie skutków realizacji </w:t>
      </w:r>
      <w:r w:rsidRPr="0094273C">
        <w:lastRenderedPageBreak/>
        <w:t xml:space="preserve">RPO będzie polegać na porównywaniu danych mierzalnych uzyskanych w określonym czasie realizacji dokumentu z sytuacją wyjściową. </w:t>
      </w:r>
    </w:p>
    <w:p w:rsidR="0094273C" w:rsidRPr="0094273C" w:rsidRDefault="0094273C" w:rsidP="004D673E">
      <w:pPr>
        <w:ind w:firstLine="567"/>
      </w:pPr>
      <w:r w:rsidRPr="0094273C">
        <w:t>Przyjęte wskaźniki odnoszą się m.in. do zagadnień związanych z rozwojem gospodarczym województwa, a także poziomem życia mieszkańców, w różnym stopniu (pośrednio lub bezpośrednio) oddziaływujące na środowisko. Kryterium wyboru wskaźników była ich dostępność, toteż mogą nie obrazować pełnej oceny skutków wdrażania RPO na środowisko. W miarę rozwoju systemu monitorowania oraz przy okazji ewaluacji można zaproponować nowe, bardziej miarodajne wskaźniki oceniające rzeczywisty wpływ realizowanych działań na środowisko i zrównoważony rozwój.</w:t>
      </w:r>
    </w:p>
    <w:p w:rsidR="0094273C" w:rsidRPr="0094273C" w:rsidRDefault="0094273C" w:rsidP="004D673E">
      <w:pPr>
        <w:ind w:firstLine="567"/>
      </w:pPr>
      <w:r w:rsidRPr="0094273C">
        <w:t>System monitorowania i oceny realizacji projektu RPO jest spójny z zapisami opracowań strategicznych na szczeblu krajowym, m.in. Krajowej Strategii Rozwoju Regionalnego. Wskazana coroczna częstotliwość przeprowadzenia oceny jest wystarczająca.</w:t>
      </w:r>
    </w:p>
    <w:p w:rsidR="0094273C" w:rsidRPr="0094273C" w:rsidRDefault="0094273C" w:rsidP="004D673E">
      <w:pPr>
        <w:pStyle w:val="Nagwek3"/>
      </w:pPr>
      <w:bookmarkStart w:id="308" w:name="_Toc349130308"/>
      <w:bookmarkStart w:id="309" w:name="_Toc359241689"/>
      <w:bookmarkStart w:id="310" w:name="_Toc378314194"/>
      <w:bookmarkStart w:id="311" w:name="_Toc378314409"/>
      <w:bookmarkStart w:id="312" w:name="_Toc384300332"/>
      <w:bookmarkStart w:id="313" w:name="_Toc397925216"/>
      <w:bookmarkStart w:id="314" w:name="_Toc397925574"/>
      <w:r w:rsidRPr="0094273C">
        <w:t>Informacja o możliwym transgranicznym oddziaływaniu na środowisko</w:t>
      </w:r>
      <w:bookmarkEnd w:id="308"/>
      <w:bookmarkEnd w:id="309"/>
      <w:bookmarkEnd w:id="310"/>
      <w:bookmarkEnd w:id="311"/>
      <w:bookmarkEnd w:id="312"/>
      <w:bookmarkEnd w:id="313"/>
      <w:bookmarkEnd w:id="314"/>
      <w:r w:rsidRPr="0094273C">
        <w:t xml:space="preserve"> </w:t>
      </w:r>
    </w:p>
    <w:p w:rsidR="0094273C" w:rsidRPr="0094273C" w:rsidRDefault="0094273C" w:rsidP="004D673E">
      <w:pPr>
        <w:ind w:firstLine="567"/>
      </w:pPr>
      <w:r w:rsidRPr="0094273C">
        <w:t>Ogólny charakter dokumentu, zwłaszcza brak jednoznacznego wskazania lokalizacji dla poszczególnych typów projektów oraz ich skali, nie daje podstaw do stwierdzenia wystąpienia znaczącego oddziaływania trans granicznego, w związku z tym nie zachodzi potrzeba uruchamiana procedury oceny oddziaływania na środowisko w kontekście transgranicznym.</w:t>
      </w:r>
    </w:p>
    <w:p w:rsidR="0094273C" w:rsidRPr="0094273C" w:rsidRDefault="0094273C" w:rsidP="004D673E">
      <w:pPr>
        <w:pStyle w:val="Nagwek3"/>
      </w:pPr>
      <w:bookmarkStart w:id="315" w:name="_Toc349130309"/>
      <w:bookmarkStart w:id="316" w:name="_Toc359241690"/>
      <w:bookmarkStart w:id="317" w:name="_Toc378314195"/>
      <w:bookmarkStart w:id="318" w:name="_Toc378314410"/>
      <w:bookmarkStart w:id="319" w:name="_Toc384300333"/>
      <w:bookmarkStart w:id="320" w:name="_Toc397925217"/>
      <w:bookmarkStart w:id="321" w:name="_Toc397925575"/>
      <w:r w:rsidRPr="0094273C">
        <w:t>Wskazanie napotkanych trudności wynikających z niedostatków techniki lub luk we współczesnej wiedzy</w:t>
      </w:r>
      <w:bookmarkEnd w:id="315"/>
      <w:bookmarkEnd w:id="316"/>
      <w:bookmarkEnd w:id="317"/>
      <w:bookmarkEnd w:id="318"/>
      <w:bookmarkEnd w:id="319"/>
      <w:bookmarkEnd w:id="320"/>
      <w:bookmarkEnd w:id="321"/>
    </w:p>
    <w:p w:rsidR="0094273C" w:rsidRPr="0094273C" w:rsidRDefault="0094273C" w:rsidP="004D673E">
      <w:pPr>
        <w:ind w:firstLine="567"/>
      </w:pPr>
      <w:r w:rsidRPr="0094273C">
        <w:t xml:space="preserve">W trakcie opracowywania prognozy nie stwierdzono istotnych niedostatków lub braków materiałów, które ograniczałyby możliwość wykonania prognozy. </w:t>
      </w:r>
    </w:p>
    <w:p w:rsidR="0094273C" w:rsidRPr="0094273C" w:rsidRDefault="0094273C" w:rsidP="004D673E">
      <w:pPr>
        <w:ind w:firstLine="567"/>
      </w:pPr>
      <w:r w:rsidRPr="0094273C">
        <w:t xml:space="preserve">Pewne utrudnienia miały charakter trudności metodycznych i wynikały ze specyfiki dokumentu strategicznego, charakteryzującego się dużym stopniem ogólności jego zapisów. Dotyczyły one głównie braku możliwości odniesienia się do oddziaływań na środowisko ogólnych zapisów projektu RPO, braku dokładnego umiejscowienia realizacji poszczególnych działań w przestrzeni oraz braku informacji, co do rodzaju i skali prawdopodobnych zamierzeń inwestycyjnych. </w:t>
      </w:r>
    </w:p>
    <w:p w:rsidR="0094273C" w:rsidRPr="0094273C" w:rsidRDefault="0094273C" w:rsidP="004D673E">
      <w:pPr>
        <w:pStyle w:val="Nagwek3"/>
      </w:pPr>
      <w:bookmarkStart w:id="322" w:name="_Toc349130310"/>
      <w:bookmarkStart w:id="323" w:name="_Toc359241691"/>
      <w:bookmarkStart w:id="324" w:name="_Toc378314196"/>
      <w:bookmarkStart w:id="325" w:name="_Toc397925218"/>
      <w:bookmarkStart w:id="326" w:name="_Toc397925576"/>
      <w:r w:rsidRPr="0094273C">
        <w:t>Wnioski</w:t>
      </w:r>
      <w:bookmarkEnd w:id="322"/>
      <w:bookmarkEnd w:id="323"/>
      <w:bookmarkEnd w:id="324"/>
      <w:bookmarkEnd w:id="325"/>
      <w:bookmarkEnd w:id="326"/>
    </w:p>
    <w:p w:rsidR="0094273C" w:rsidRPr="0094273C" w:rsidRDefault="0094273C" w:rsidP="004D673E">
      <w:pPr>
        <w:ind w:firstLine="360"/>
        <w:rPr>
          <w:b/>
        </w:rPr>
      </w:pPr>
      <w:r w:rsidRPr="0094273C">
        <w:rPr>
          <w:b/>
        </w:rPr>
        <w:t>Analizy przeprowadzone w Prognozie pozwoliły na sformułowanie następujących wniosków:</w:t>
      </w:r>
    </w:p>
    <w:p w:rsidR="0094273C" w:rsidRPr="0094273C" w:rsidRDefault="0094273C" w:rsidP="006E6138">
      <w:pPr>
        <w:numPr>
          <w:ilvl w:val="0"/>
          <w:numId w:val="101"/>
        </w:numPr>
        <w:spacing w:after="0"/>
        <w:ind w:hanging="294"/>
      </w:pPr>
      <w:r w:rsidRPr="0094273C">
        <w:t>Prognoza w ogólny, strategiczny sposób rozważa korzyści i zagrożenia wynikające z realizacji projektu RPO oraz wskazuje obszary, w obrębie których mogą wystąpić potencjalne konflikty wynikające z realizacji działań określonych w projekcie RPO, a celami ochrony środowiska, głównie ochrony przyrody.</w:t>
      </w:r>
    </w:p>
    <w:p w:rsidR="0094273C" w:rsidRPr="0094273C" w:rsidRDefault="0094273C" w:rsidP="006E6138">
      <w:pPr>
        <w:numPr>
          <w:ilvl w:val="0"/>
          <w:numId w:val="101"/>
        </w:numPr>
        <w:spacing w:after="0"/>
        <w:ind w:hanging="294"/>
      </w:pPr>
      <w:r w:rsidRPr="0094273C">
        <w:t xml:space="preserve">Prognoza nie jest dokumentem rozstrzygającym o słuszności realizacji typów projektów służących osiągnięciu założonych celów, a jedynie przedstawia prawdopodobne skutki, jakie realizacja projektu RPO może mieć na środowisko. </w:t>
      </w:r>
    </w:p>
    <w:p w:rsidR="0094273C" w:rsidRPr="0094273C" w:rsidRDefault="0094273C" w:rsidP="006E6138">
      <w:pPr>
        <w:numPr>
          <w:ilvl w:val="0"/>
          <w:numId w:val="101"/>
        </w:numPr>
        <w:spacing w:after="0"/>
        <w:ind w:hanging="294"/>
      </w:pPr>
      <w:r w:rsidRPr="0094273C">
        <w:t xml:space="preserve">Prognoza jest dokumentem wspierającym proces decyzyjny i procedurę konsultacji projektu RPO. Wskazuje na możliwe negatywne skutki realizacji projektu RPO oraz przedstawia </w:t>
      </w:r>
      <w:r w:rsidRPr="0094273C">
        <w:lastRenderedPageBreak/>
        <w:t xml:space="preserve">zalecenia dotyczące przeciwdziałania ewentualnym niekorzystnym oddziaływaniom na środowisko, a także przedstawia sposoby ich minimalizacji. </w:t>
      </w:r>
    </w:p>
    <w:p w:rsidR="0094273C" w:rsidRPr="0094273C" w:rsidRDefault="0094273C" w:rsidP="006E6138">
      <w:pPr>
        <w:numPr>
          <w:ilvl w:val="0"/>
          <w:numId w:val="101"/>
        </w:numPr>
        <w:spacing w:after="0"/>
        <w:ind w:hanging="294"/>
      </w:pPr>
      <w:r w:rsidRPr="0094273C">
        <w:t>Ocena potencjalnych oddziaływań ma charakter hipotetyczny ze względu na bardzo ogólny charakter analizowanego dokumentu.</w:t>
      </w:r>
    </w:p>
    <w:p w:rsidR="0094273C" w:rsidRPr="0094273C" w:rsidRDefault="0094273C" w:rsidP="006E6138">
      <w:pPr>
        <w:numPr>
          <w:ilvl w:val="0"/>
          <w:numId w:val="101"/>
        </w:numPr>
        <w:spacing w:after="0"/>
        <w:ind w:hanging="294"/>
      </w:pPr>
      <w:r w:rsidRPr="0094273C">
        <w:t>Szczegółowe skutki oddziaływania poszczególnych przedsięwzięć realizowanych w ramach typów projektów określonych w projekcie RPO będą przedmiotem osobnej procedury oddziaływania prowadzonej na etapie projektowania inwestycji.</w:t>
      </w:r>
    </w:p>
    <w:p w:rsidR="0094273C" w:rsidRPr="0094273C" w:rsidRDefault="0094273C" w:rsidP="006E6138">
      <w:pPr>
        <w:numPr>
          <w:ilvl w:val="0"/>
          <w:numId w:val="101"/>
        </w:numPr>
        <w:spacing w:after="0"/>
        <w:ind w:hanging="294"/>
      </w:pPr>
      <w:r w:rsidRPr="0094273C">
        <w:t>Wszelkie działania inwestycyjne prowadzone w oparciu o zasoby kulturowe województwa powinny być ukierunkowane na zachowanie walorów krajobrazowych i kulturowych i wzmocnienie ich potencjału oraz na upowszechnianiu regionalnego dziedzictwa kulturowego wsi poprzez kultywowanie tradycyjnych wartości niematerialnych regionu (muzyki, tradycyjnych strojów, zawodów i potraw), eksponowania charakterystycznej architektury, miejsc historycznych i kulturowych.</w:t>
      </w:r>
    </w:p>
    <w:p w:rsidR="0094273C" w:rsidRPr="0094273C" w:rsidRDefault="0094273C" w:rsidP="006E6138">
      <w:pPr>
        <w:numPr>
          <w:ilvl w:val="0"/>
          <w:numId w:val="101"/>
        </w:numPr>
        <w:spacing w:after="0"/>
        <w:ind w:hanging="294"/>
      </w:pPr>
      <w:r w:rsidRPr="0094273C">
        <w:t>RPO jest dokumentem o dużym stopniu ogólności, nie wskazuje konkretnych przedsięwzięć, ani ich lokalizacji, określa typy projektów, które mogą zostać dofinansowane i zrealizowane w ramach wskazanych działań w poszczególnych osiach priorytetowych, z czego wynika trudność przedstawienia rozwiązań mających na celu zapobieganie, ograniczanie lub kompensację przyrodniczą negatywnych oddziaływań na środowisko.</w:t>
      </w:r>
    </w:p>
    <w:p w:rsidR="0094273C" w:rsidRPr="0094273C" w:rsidRDefault="0094273C" w:rsidP="006E6138">
      <w:pPr>
        <w:numPr>
          <w:ilvl w:val="0"/>
          <w:numId w:val="101"/>
        </w:numPr>
        <w:spacing w:after="0"/>
        <w:ind w:hanging="294"/>
      </w:pPr>
      <w:r w:rsidRPr="0094273C">
        <w:t>Przewiduje się, iż brak realizacji RPO przyniesie przede wszystkim negatywne zmiany w odniesieniu do aktualnego stanu środowiska. Szczególnie niekorzystne zmiany w aspekcie skutków środowiskowych mogą wystąpić w przypadku odstąpienia od realizacji działań w ramach osi priorytetowej IV. Ochrona środowiska naturalnego i dziedzictwa kulturowego.</w:t>
      </w:r>
    </w:p>
    <w:p w:rsidR="0094273C" w:rsidRPr="0094273C" w:rsidRDefault="0094273C" w:rsidP="006E6138">
      <w:pPr>
        <w:numPr>
          <w:ilvl w:val="0"/>
          <w:numId w:val="101"/>
        </w:numPr>
        <w:spacing w:after="0"/>
        <w:ind w:hanging="294"/>
      </w:pPr>
      <w:r w:rsidRPr="0094273C">
        <w:t xml:space="preserve">W projekcie RPO aspekty środowiskowe zostały uwzględnione w szerokim zakresie. Część priorytetów inwestycyjnych 4.1., 4.3., 4.5., 5.2., 6.1., 6.2., 6.4., 6.5. wynika z wybranych do realizacji celów tematycznych (CT 4, CT 5, CT 6), które dotyczą kwestii ochrony oraz poprawy stanu środowiska i stanowią podstawę niezbędnych działań. </w:t>
      </w:r>
    </w:p>
    <w:p w:rsidR="0094273C" w:rsidRPr="0094273C" w:rsidRDefault="0094273C" w:rsidP="006E6138">
      <w:pPr>
        <w:numPr>
          <w:ilvl w:val="0"/>
          <w:numId w:val="101"/>
        </w:numPr>
        <w:spacing w:after="0"/>
        <w:ind w:hanging="294"/>
      </w:pPr>
      <w:r w:rsidRPr="0094273C">
        <w:t>Przeprowadzone analizy wykazały, że najwięcej potencjalnie negatywnych/negatywnych, oddziaływań na środowisko związanych będzie z realizacją typów projektów w ramach osi:</w:t>
      </w:r>
    </w:p>
    <w:p w:rsidR="0094273C" w:rsidRPr="0094273C" w:rsidRDefault="0094273C" w:rsidP="004D673E">
      <w:pPr>
        <w:ind w:left="720" w:hanging="11"/>
      </w:pPr>
      <w:r w:rsidRPr="0094273C">
        <w:t>I. Konkurencyjna i innowacyjna gospodarka, PI 3.1.</w:t>
      </w:r>
      <w:r w:rsidRPr="0094273C">
        <w:rPr>
          <w:rFonts w:eastAsia="Calibri"/>
        </w:rPr>
        <w:t>,</w:t>
      </w:r>
      <w:r w:rsidRPr="0094273C">
        <w:t xml:space="preserve"> III. Czysta energia, PI 4.1., IV. Ochrona środowiska naturalnego i dziedzictwa kulturowego, PI 5.2., V. Infrastruktura komunikacyjna, PI: 7.2. </w:t>
      </w:r>
      <w:r w:rsidRPr="0094273C">
        <w:rPr>
          <w:rFonts w:eastAsia="Calibri"/>
        </w:rPr>
        <w:t xml:space="preserve">7.4., 4.5, a </w:t>
      </w:r>
      <w:r w:rsidRPr="0094273C">
        <w:t>najwięcej pozytywnych oddziaływań na środowisko i zdrowie ludzi związanych będzie z realizacją typów projektów w ramach osi: I. Konkurencyjna i innowacyjna gospodarka, PI: 1.2., III. Czysta energia, PI: 4.1., 4.3, 4.5., IV. Ochrona środowiska naturalnego i dziedzictwa kulturowego, PI: 5.2., 6.1., 6.3., 6.4., 6.5., VI. Spójność przestrzenna i społeczna PI: 9.2., VII. Regionalny rynek pracy, PI 8.9.</w:t>
      </w:r>
    </w:p>
    <w:p w:rsidR="0094273C" w:rsidRPr="0094273C" w:rsidRDefault="0094273C" w:rsidP="006E6138">
      <w:pPr>
        <w:numPr>
          <w:ilvl w:val="0"/>
          <w:numId w:val="101"/>
        </w:numPr>
        <w:spacing w:after="0"/>
        <w:ind w:hanging="294"/>
      </w:pPr>
      <w:r w:rsidRPr="0094273C">
        <w:t xml:space="preserve">W ramach priorytetów inwestycyjnych 3.1., 3,3., 4.1., 5.2., 6.1., 6.2., 7.2., 7.4. 8.2. mogą zostać wybrane do realizacji projekty wiążące się z potencjalną ingerencją w środowisko niezależnie od faktu, iż w wielu przypadkach będą to działania służące ochronie środowiska. </w:t>
      </w:r>
    </w:p>
    <w:p w:rsidR="0094273C" w:rsidRPr="0094273C" w:rsidRDefault="0094273C" w:rsidP="006E6138">
      <w:pPr>
        <w:numPr>
          <w:ilvl w:val="0"/>
          <w:numId w:val="101"/>
        </w:numPr>
        <w:spacing w:after="0"/>
        <w:ind w:hanging="294"/>
      </w:pPr>
      <w:r w:rsidRPr="0094273C">
        <w:t xml:space="preserve">Istotnym jest by decyzję o alokacji środków dla projektów, które wiązać się mogą z potencjalną ingerencją w środowisko, poprzedzała ich szczegółowa analiza pod kątem zastosowanych rozwiązań ograniczających potencjalne, negatywne skutki środowiskowe. </w:t>
      </w:r>
      <w:r w:rsidRPr="0094273C">
        <w:lastRenderedPageBreak/>
        <w:t>W kryteriach oceny projektów za zastosowanie takich rozwiązań winny być przyznawane dodatkowe punkty.</w:t>
      </w:r>
    </w:p>
    <w:p w:rsidR="0094273C" w:rsidRPr="0094273C" w:rsidRDefault="0094273C" w:rsidP="006E6138">
      <w:pPr>
        <w:numPr>
          <w:ilvl w:val="0"/>
          <w:numId w:val="101"/>
        </w:numPr>
        <w:spacing w:after="0"/>
        <w:ind w:hanging="294"/>
      </w:pPr>
      <w:r w:rsidRPr="0094273C">
        <w:t>W kierunkowych zasadach wyboru projektów wszystkich priorytetów inwestycyjnych przewidziano honorowanie zasady zrównoważonego rozwoju.</w:t>
      </w:r>
    </w:p>
    <w:p w:rsidR="0094273C" w:rsidRPr="0094273C" w:rsidRDefault="0094273C" w:rsidP="006E6138">
      <w:pPr>
        <w:numPr>
          <w:ilvl w:val="0"/>
          <w:numId w:val="101"/>
        </w:numPr>
        <w:spacing w:after="0"/>
        <w:ind w:hanging="294"/>
      </w:pPr>
      <w:r w:rsidRPr="0094273C">
        <w:t xml:space="preserve">Jako rozwiązanie zapobiegające potencjalnym negatywnym oddziaływaniom sugeruje się uzupełnienie kierunkowych zasadach wyboru projektów priorytetów inwestycyjnych o zapis typu: </w:t>
      </w:r>
      <w:r w:rsidRPr="0094273C">
        <w:rPr>
          <w:i/>
        </w:rPr>
        <w:t>Premiowane będą projekty zapewniające minimalizację skutków środowiskowych, w szczególności w odniesieniu do celów i przedmiotów ochrony obszarów Natura 2000 oraz integralności tych obszarów.</w:t>
      </w:r>
    </w:p>
    <w:p w:rsidR="0094273C" w:rsidRPr="0094273C" w:rsidRDefault="0094273C" w:rsidP="006E6138">
      <w:pPr>
        <w:numPr>
          <w:ilvl w:val="0"/>
          <w:numId w:val="101"/>
        </w:numPr>
        <w:spacing w:after="0"/>
        <w:ind w:hanging="294"/>
      </w:pPr>
      <w:r w:rsidRPr="0094273C">
        <w:t>W odniesieniu do dokumentu o tak dużym stopniu ogólności, jakim jest projekt RPO, utrudnione jest zaproponowanie rozwiązań mających na celu kompensację przyrodniczą. Taka możliwość i potrzeba może powstać jako wynik oceny oddziaływania na środowisko przedsięwzięcia, przy realizacji konkretnych zamierzeń inwestycyjnych, wynikających z wyboru konkretnego projektu. Będzie to miało miejsce na etapie procesów decyzyjnych (plany zagospodarowania przestrzennego, decyzje administracyjne). Obecnie można jedynie wskazać potrzebę stosowania rozwiązań alternatywnych i wybierania do realizacji takiego wariantu, który będzie najbardziej korzystny dla środowiska.</w:t>
      </w:r>
    </w:p>
    <w:p w:rsidR="0094273C" w:rsidRPr="0094273C" w:rsidRDefault="0094273C" w:rsidP="006E6138">
      <w:pPr>
        <w:pStyle w:val="Bezodstpw"/>
        <w:numPr>
          <w:ilvl w:val="0"/>
          <w:numId w:val="101"/>
        </w:numPr>
        <w:spacing w:line="276" w:lineRule="auto"/>
        <w:ind w:hanging="294"/>
        <w:jc w:val="both"/>
      </w:pPr>
      <w:r w:rsidRPr="0094273C">
        <w:t>Funkcjonowanie zrealizowanych już projektów inwestycyjnych/działań będzie korzystnie wpływać na stan środowiska i zdrowie ludzi, zwłaszcza, gdy stosowane będą najnowsze technologie oraz „dobre praktyki”, niemniej jednak pozytywnych zmian należy spodziewać się w dłuższej perspektywie czasowej.</w:t>
      </w:r>
    </w:p>
    <w:p w:rsidR="0094273C" w:rsidRPr="0094273C" w:rsidRDefault="0094273C" w:rsidP="006E6138">
      <w:pPr>
        <w:numPr>
          <w:ilvl w:val="0"/>
          <w:numId w:val="101"/>
        </w:numPr>
        <w:spacing w:after="0"/>
        <w:ind w:hanging="294"/>
      </w:pPr>
      <w:r w:rsidRPr="0094273C">
        <w:t>Stopień ogólności, charakter dokumentu, zwłaszcza brak jednoznacznej lokalizacji dla poszczególnych działań oraz ich skali, nie daje podstaw do stwierdzenia wystąpienia znaczącego oddziaływania transgranicznego. Zatem nie zachodzi potrzeba uruchamiana procedury oceny oddziaływania na środowisko w kontekście transgranicznym.</w:t>
      </w:r>
    </w:p>
    <w:p w:rsidR="0094273C" w:rsidRPr="0094273C" w:rsidRDefault="0094273C" w:rsidP="006E6138">
      <w:pPr>
        <w:numPr>
          <w:ilvl w:val="0"/>
          <w:numId w:val="101"/>
        </w:numPr>
        <w:spacing w:after="0"/>
        <w:ind w:hanging="294"/>
      </w:pPr>
      <w:r w:rsidRPr="0094273C">
        <w:t xml:space="preserve">Ze względu na brak wykazu dużych projektów zaplanowanych do realizacji w okresie 2014-2020, o który projekt RPO ma być uzupełniony na dalszym etapie prac, nie ma możliwości dokonania oceny skutków środowiskowych ich realizacji. </w:t>
      </w:r>
    </w:p>
    <w:p w:rsidR="0094273C" w:rsidRPr="0094273C" w:rsidRDefault="0094273C" w:rsidP="006E6138">
      <w:pPr>
        <w:numPr>
          <w:ilvl w:val="0"/>
          <w:numId w:val="101"/>
        </w:numPr>
        <w:spacing w:after="0"/>
        <w:ind w:hanging="294"/>
      </w:pPr>
      <w:r w:rsidRPr="0094273C">
        <w:t xml:space="preserve">Realizacja przyjętych w projekcie RPO priorytetów inwestycyjnych będzie korzystnie wpływać na ochronę zasobów wodnych oraz poprawę jakości wód powierzchniowych i podziemnych, szczególnie tych które zostały określone w osi priorytetowej IV. Ochrona środowiska naturalnego i dziedzictwa kulturowego: </w:t>
      </w:r>
    </w:p>
    <w:p w:rsidR="0094273C" w:rsidRPr="0094273C" w:rsidRDefault="0094273C" w:rsidP="006E6138">
      <w:pPr>
        <w:numPr>
          <w:ilvl w:val="0"/>
          <w:numId w:val="102"/>
        </w:numPr>
        <w:spacing w:after="0"/>
      </w:pPr>
      <w:r w:rsidRPr="0094273C">
        <w:t>6.2. Inwestowanie w sektor gospodarki wodnej celem wypełnienia zobowiązań określonych w dorobku prawnym Unii w zakresie środowiska oraz zaspokojenia wykraczających poza te zobowiązania potrzeb inwestycyjnych, określonych przez państwa członkowskie,</w:t>
      </w:r>
    </w:p>
    <w:p w:rsidR="0094273C" w:rsidRPr="0094273C" w:rsidRDefault="0094273C" w:rsidP="006E6138">
      <w:pPr>
        <w:numPr>
          <w:ilvl w:val="0"/>
          <w:numId w:val="102"/>
        </w:numPr>
        <w:spacing w:after="0"/>
      </w:pPr>
      <w:r w:rsidRPr="0094273C">
        <w:t>5.2. Wspieranie inwestycji ukierunkowanych na konkretne rodzaje zagrożeń przy jednoczesnym zwiększeniu odporności na klęski i katastrofy i rozwijaniu systemów zarządzania klęskami i katastrofami,</w:t>
      </w:r>
    </w:p>
    <w:p w:rsidR="0094273C" w:rsidRPr="0094273C" w:rsidRDefault="0094273C" w:rsidP="006E6138">
      <w:pPr>
        <w:numPr>
          <w:ilvl w:val="0"/>
          <w:numId w:val="102"/>
        </w:numPr>
        <w:spacing w:after="0"/>
      </w:pPr>
      <w:r w:rsidRPr="0094273C">
        <w:t>6.1. Inwestowanie w sektor gospodarki odpadami celem wypełnienia zobowiązań określonych w dorobku prawnym Unii w zakresie środowiska oraz zaspokojenia wykraczających poza te zobowiązania potrzeb inwestycyjnych określonych przez państwa członkowskie,</w:t>
      </w:r>
    </w:p>
    <w:p w:rsidR="0094273C" w:rsidRPr="0094273C" w:rsidRDefault="0094273C" w:rsidP="006E6138">
      <w:pPr>
        <w:numPr>
          <w:ilvl w:val="0"/>
          <w:numId w:val="102"/>
        </w:numPr>
        <w:spacing w:after="0"/>
      </w:pPr>
      <w:r w:rsidRPr="0094273C">
        <w:lastRenderedPageBreak/>
        <w:t>6.4. Ochrona i przywrócenie różnorodności biologicznej, ochrona i rekultywacja gleby oraz wspieranie usług ekosystemowych, także poprzez program Natura 2000 i zieloną infrastrukturę,</w:t>
      </w:r>
    </w:p>
    <w:p w:rsidR="0094273C" w:rsidRPr="0094273C" w:rsidRDefault="0094273C" w:rsidP="006E6138">
      <w:pPr>
        <w:numPr>
          <w:ilvl w:val="0"/>
          <w:numId w:val="102"/>
        </w:numPr>
        <w:spacing w:after="0"/>
      </w:pPr>
      <w:r w:rsidRPr="0094273C">
        <w:t>6.5. Podejmowanie przedsięwzięć mających na celu poprawę stanu jakości środowiska miejskiego, rewitalizację miast, rekultywację i dekontaminację terenów poprzemysłowych (w tym terenów powojskowych), zmniejszenie zanieczyszczenia powietrza i propagowanie działań służących zmniejszeniu hałasu.</w:t>
      </w:r>
    </w:p>
    <w:p w:rsidR="0094273C" w:rsidRPr="0094273C" w:rsidRDefault="0094273C" w:rsidP="006E6138">
      <w:pPr>
        <w:pStyle w:val="Bezodstpw"/>
        <w:numPr>
          <w:ilvl w:val="0"/>
          <w:numId w:val="104"/>
        </w:numPr>
        <w:spacing w:line="276" w:lineRule="auto"/>
        <w:ind w:hanging="294"/>
        <w:jc w:val="both"/>
      </w:pPr>
      <w:r w:rsidRPr="0094273C">
        <w:t xml:space="preserve">Realizując poszczególne, wybrane typy projektów należy przede wszystkim: </w:t>
      </w:r>
    </w:p>
    <w:p w:rsidR="0094273C" w:rsidRPr="0094273C" w:rsidRDefault="0094273C" w:rsidP="006E6138">
      <w:pPr>
        <w:pStyle w:val="Bezodstpw"/>
        <w:numPr>
          <w:ilvl w:val="0"/>
          <w:numId w:val="105"/>
        </w:numPr>
        <w:spacing w:line="276" w:lineRule="auto"/>
        <w:jc w:val="both"/>
      </w:pPr>
      <w:r w:rsidRPr="0094273C">
        <w:t>zachować spójność i integralność obszarów Na</w:t>
      </w:r>
      <w:bookmarkStart w:id="327" w:name="_GoBack"/>
      <w:bookmarkEnd w:id="327"/>
      <w:r w:rsidRPr="0094273C">
        <w:t xml:space="preserve">tura 2000 (wyznaczonych oraz ważnych dla Wspólnoty), </w:t>
      </w:r>
    </w:p>
    <w:p w:rsidR="0094273C" w:rsidRPr="0094273C" w:rsidRDefault="0094273C" w:rsidP="006E6138">
      <w:pPr>
        <w:pStyle w:val="Bezodstpw"/>
        <w:numPr>
          <w:ilvl w:val="0"/>
          <w:numId w:val="105"/>
        </w:numPr>
        <w:spacing w:line="276" w:lineRule="auto"/>
        <w:jc w:val="both"/>
      </w:pPr>
      <w:r w:rsidRPr="0094273C">
        <w:t xml:space="preserve">unikać tworzenia barier dla przemieszczających się zwierząt oraz prawidłowego funkcjonowania układów przyrodniczych, </w:t>
      </w:r>
    </w:p>
    <w:p w:rsidR="0094273C" w:rsidRPr="0094273C" w:rsidRDefault="0094273C" w:rsidP="006E6138">
      <w:pPr>
        <w:pStyle w:val="Bezodstpw"/>
        <w:numPr>
          <w:ilvl w:val="0"/>
          <w:numId w:val="105"/>
        </w:numPr>
        <w:spacing w:line="276" w:lineRule="auto"/>
        <w:jc w:val="both"/>
      </w:pPr>
      <w:r w:rsidRPr="0094273C">
        <w:t>ograniczać presję inwestycyjną na tereny najcenniejsze pod względem przyrodniczym,</w:t>
      </w:r>
    </w:p>
    <w:p w:rsidR="0094273C" w:rsidRPr="0094273C" w:rsidRDefault="0094273C" w:rsidP="006E6138">
      <w:pPr>
        <w:pStyle w:val="Bezodstpw"/>
        <w:numPr>
          <w:ilvl w:val="0"/>
          <w:numId w:val="105"/>
        </w:numPr>
        <w:spacing w:line="276" w:lineRule="auto"/>
        <w:jc w:val="both"/>
      </w:pPr>
      <w:r w:rsidRPr="0094273C">
        <w:t xml:space="preserve">wykluczać, lub w uzasadnionych przypadkach ograniczać, fragmentację środowiska do niezbędnego minimum, </w:t>
      </w:r>
    </w:p>
    <w:p w:rsidR="0094273C" w:rsidRPr="0094273C" w:rsidRDefault="0094273C" w:rsidP="006E6138">
      <w:pPr>
        <w:pStyle w:val="Bezodstpw"/>
        <w:numPr>
          <w:ilvl w:val="0"/>
          <w:numId w:val="105"/>
        </w:numPr>
        <w:spacing w:line="276" w:lineRule="auto"/>
        <w:jc w:val="both"/>
      </w:pPr>
      <w:r w:rsidRPr="0094273C">
        <w:t>zapewniać drożność korytarzy ekologicznych oraz szlaków migracyjnych zwierząt.</w:t>
      </w:r>
    </w:p>
    <w:p w:rsidR="0094273C" w:rsidRPr="0094273C" w:rsidRDefault="0094273C" w:rsidP="006E6138">
      <w:pPr>
        <w:pStyle w:val="Bezodstpw"/>
        <w:numPr>
          <w:ilvl w:val="0"/>
          <w:numId w:val="104"/>
        </w:numPr>
        <w:spacing w:line="276" w:lineRule="auto"/>
        <w:ind w:hanging="294"/>
        <w:jc w:val="both"/>
        <w:rPr>
          <w:b/>
        </w:rPr>
      </w:pPr>
      <w:r w:rsidRPr="0094273C">
        <w:t>Nie można w sposób jednoznaczny wykluczyć negatywnego wpływu realizacji niektórych zadań realizowanych w ramach priorytetów na obszary Natura 2000, ale wpływ negatywny nie oznacza wpływu znaczącego. Należy zaznaczyć, że obowiązujące prawo wyklucza realizację przedsięwzięć mogących w sposób znaczący oddziaływać na obszary Natura 2000, ale dopuszcza odstępstwa od tej reguły (art. 34. Ustawy o ochronie przyrody), a dla przedsięwzięć ustawodawca przewidział odpowiednie procedury ocen, które przeprowadza się na etapie realizacji.</w:t>
      </w:r>
    </w:p>
    <w:p w:rsidR="0094273C" w:rsidRPr="0094273C" w:rsidRDefault="0094273C" w:rsidP="006E6138">
      <w:pPr>
        <w:pStyle w:val="Bezodstpw"/>
        <w:numPr>
          <w:ilvl w:val="0"/>
          <w:numId w:val="104"/>
        </w:numPr>
        <w:spacing w:line="276" w:lineRule="auto"/>
        <w:ind w:hanging="294"/>
        <w:jc w:val="both"/>
        <w:rPr>
          <w:b/>
        </w:rPr>
      </w:pPr>
      <w:r w:rsidRPr="0094273C">
        <w:t>Przeprowadzone analizy wykazują, iż proponowane w RPO typy projektów, dzięki którym zostaną osiągnięte zamierzone cele, będą miały charakter regionalny, a potencjalne negatywne oddziaływanie będzie miało miejscowy zasięg.</w:t>
      </w:r>
    </w:p>
    <w:p w:rsidR="0094273C" w:rsidRPr="0094273C" w:rsidRDefault="0094273C" w:rsidP="006E6138">
      <w:pPr>
        <w:numPr>
          <w:ilvl w:val="0"/>
          <w:numId w:val="103"/>
        </w:numPr>
        <w:spacing w:after="0"/>
        <w:ind w:hanging="294"/>
      </w:pPr>
      <w:r w:rsidRPr="0094273C">
        <w:t>System monitorowania i oceny realizacji projektu RPO jest spójny z zapisami opracowań strategicznych na szczeblu krajowym, m.in. z zapisami Krajowej Strategii Rozwoju Regionalnego. Wskazana coroczna częstotliwość przeprowadzenia oceny jest wystarczająca.</w:t>
      </w:r>
    </w:p>
    <w:p w:rsidR="0094273C" w:rsidRPr="0094273C" w:rsidRDefault="0094273C" w:rsidP="006E6138">
      <w:pPr>
        <w:numPr>
          <w:ilvl w:val="0"/>
          <w:numId w:val="103"/>
        </w:numPr>
        <w:spacing w:after="0"/>
        <w:ind w:hanging="294"/>
      </w:pPr>
      <w:r w:rsidRPr="0094273C">
        <w:t>W trakcie funkcjonowania systemu monitorowania w zależności od potrzeb powinno się wprowadzić nowe wskaźniki odnoszące się do zasobów przyrody, jakości poszczególnych elementów środowiska oraz pokazujących tendencje zmian jakościowych środowiska.</w:t>
      </w:r>
    </w:p>
    <w:p w:rsidR="0094273C" w:rsidRPr="0094273C" w:rsidRDefault="0094273C" w:rsidP="004D673E"/>
    <w:p w:rsidR="00B05F42" w:rsidRPr="00F620DA" w:rsidRDefault="00F35DFF" w:rsidP="004D673E">
      <w:pPr>
        <w:rPr>
          <w:rFonts w:eastAsiaTheme="majorEastAsia" w:cstheme="majorBidi"/>
          <w:b/>
          <w:bCs/>
          <w:color w:val="366092" w:themeColor="accent1"/>
        </w:rPr>
      </w:pPr>
      <w:r w:rsidRPr="00F620DA">
        <w:t>.</w:t>
      </w:r>
      <w:r w:rsidR="00B05F42" w:rsidRPr="00F620DA">
        <w:br w:type="page"/>
      </w:r>
    </w:p>
    <w:p w:rsidR="008B0D93" w:rsidRPr="008B0D93" w:rsidRDefault="008B0D93" w:rsidP="008B0D93">
      <w:pPr>
        <w:pStyle w:val="Nagwek2"/>
      </w:pPr>
      <w:bookmarkStart w:id="328" w:name="_Toc384914430"/>
      <w:r>
        <w:lastRenderedPageBreak/>
        <w:t>Raport metodologiczny</w:t>
      </w:r>
      <w:r w:rsidR="00D507EA">
        <w:t xml:space="preserve"> (w oddzielnym pliku)</w:t>
      </w:r>
      <w:bookmarkEnd w:id="328"/>
    </w:p>
    <w:sectPr w:rsidR="008B0D93" w:rsidRPr="008B0D93" w:rsidSect="00607AE2">
      <w:pgSz w:w="11906" w:h="16838"/>
      <w:pgMar w:top="1985" w:right="1418" w:bottom="1418"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A164A" w:rsidRDefault="00DA164A" w:rsidP="00AA21EB">
      <w:pPr>
        <w:spacing w:after="0" w:line="240" w:lineRule="auto"/>
      </w:pPr>
      <w:r>
        <w:separator/>
      </w:r>
    </w:p>
  </w:endnote>
  <w:endnote w:type="continuationSeparator" w:id="0">
    <w:p w:rsidR="00DA164A" w:rsidRDefault="00DA164A" w:rsidP="00AA21E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libri Light">
    <w:altName w:val="Calibri"/>
    <w:charset w:val="EE"/>
    <w:family w:val="swiss"/>
    <w:pitch w:val="variable"/>
    <w:sig w:usb0="00000001" w:usb1="4000207B" w:usb2="00000000" w:usb3="00000000" w:csb0="0000019F" w:csb1="00000000"/>
  </w:font>
  <w:font w:name="Tahoma">
    <w:panose1 w:val="020B0604030504040204"/>
    <w:charset w:val="EE"/>
    <w:family w:val="swiss"/>
    <w:pitch w:val="variable"/>
    <w:sig w:usb0="61002A87" w:usb1="80000000" w:usb2="00000008"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EE"/>
    <w:family w:val="swiss"/>
    <w:pitch w:val="variable"/>
    <w:sig w:usb0="20002A87" w:usb1="80000000" w:usb2="00000008" w:usb3="00000000" w:csb0="000001FF" w:csb1="00000000"/>
  </w:font>
  <w:font w:name="Helvetica">
    <w:panose1 w:val="020B0604020202020204"/>
    <w:charset w:val="EE"/>
    <w:family w:val="swiss"/>
    <w:pitch w:val="variable"/>
    <w:sig w:usb0="00000007" w:usb1="00000000" w:usb2="00000000" w:usb3="00000000" w:csb0="00000093" w:csb1="00000000"/>
  </w:font>
  <w:font w:name="ヒラギノ角ゴ Pro W3">
    <w:altName w:val="Times New Roman"/>
    <w:charset w:val="00"/>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20000287" w:usb1="00000000" w:usb2="00000000" w:usb3="00000000" w:csb0="0000019F" w:csb1="00000000"/>
  </w:font>
  <w:font w:name="Consolas">
    <w:panose1 w:val="020B0609020204030204"/>
    <w:charset w:val="EE"/>
    <w:family w:val="modern"/>
    <w:pitch w:val="fixed"/>
    <w:sig w:usb0="E10002FF" w:usb1="4000FCFF" w:usb2="00000009" w:usb3="00000000" w:csb0="0000019F" w:csb1="00000000"/>
  </w:font>
  <w:font w:name="Bookman Old Style">
    <w:panose1 w:val="02050604050505020204"/>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TTE248C4B0t00">
    <w:altName w:val="Times New Roman"/>
    <w:panose1 w:val="00000000000000000000"/>
    <w:charset w:val="00"/>
    <w:family w:val="auto"/>
    <w:notTrueType/>
    <w:pitch w:val="default"/>
    <w:sig w:usb0="00000003" w:usb1="00000000" w:usb2="00000000" w:usb3="00000000" w:csb0="00000001" w:csb1="00000000"/>
  </w:font>
  <w:font w:name="TimesNewRoman,Bold">
    <w:altName w:val="Meiryo"/>
    <w:panose1 w:val="00000000000000000000"/>
    <w:charset w:val="80"/>
    <w:family w:val="auto"/>
    <w:notTrueType/>
    <w:pitch w:val="default"/>
    <w:sig w:usb0="00000000" w:usb1="08070000" w:usb2="00000010" w:usb3="00000000" w:csb0="00020000" w:csb1="00000000"/>
  </w:font>
  <w:font w:name="FuturaPL-Bold">
    <w:altName w:val="Meiryo"/>
    <w:panose1 w:val="00000000000000000000"/>
    <w:charset w:val="80"/>
    <w:family w:val="auto"/>
    <w:notTrueType/>
    <w:pitch w:val="default"/>
    <w:sig w:usb0="00000001" w:usb1="08070000" w:usb2="00000010" w:usb3="00000000" w:csb0="00020000" w:csb1="00000000"/>
  </w:font>
  <w:font w:name="FuturaPL-Book">
    <w:altName w:val="Arial Unicode MS"/>
    <w:panose1 w:val="00000000000000000000"/>
    <w:charset w:val="80"/>
    <w:family w:val="auto"/>
    <w:notTrueType/>
    <w:pitch w:val="default"/>
    <w:sig w:usb0="00000001" w:usb1="09070000" w:usb2="00000010" w:usb3="00000000" w:csb0="000A0000" w:csb1="00000000"/>
  </w:font>
  <w:font w:name="Arial,Bold">
    <w:altName w:val="Meiryo"/>
    <w:panose1 w:val="00000000000000000000"/>
    <w:charset w:val="80"/>
    <w:family w:val="auto"/>
    <w:notTrueType/>
    <w:pitch w:val="default"/>
    <w:sig w:usb0="00000001" w:usb1="08070000" w:usb2="00000010" w:usb3="00000000" w:csb0="00020000" w:csb1="00000000"/>
  </w:font>
  <w:font w:name="TimesNewRoman">
    <w:altName w:val="Times New Roman"/>
    <w:charset w:val="00"/>
    <w:family w:val="roman"/>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Pr="006554D8" w:rsidRDefault="001B04AC" w:rsidP="006554D8">
    <w:pPr>
      <w:pStyle w:val="Stopka"/>
    </w:pPr>
    <w:r>
      <w:rPr>
        <w:noProof/>
        <w:lang w:eastAsia="pl-PL"/>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Para nawiasów 915" o:spid="_x0000_s4116" type="#_x0000_t185" style="position:absolute;left:0;text-align:left;margin-left:276.15pt;margin-top:797.05pt;width:42.45pt;height:18.8pt;z-index:251714560;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" filled="t" strokecolor="gray" strokeweight="2.25pt">
          <v:textbox inset=",0,,0">
            <w:txbxContent>
              <w:p w:rsidR="00832320" w:rsidRDefault="001B04AC">
                <w:pPr>
                  <w:jc w:val="center"/>
                </w:pPr>
                <w:fldSimple w:instr="PAGE    \* MERGEFORMAT">
                  <w:r w:rsidR="009E5A80">
                    <w:rPr>
                      <w:noProof/>
                    </w:rPr>
                    <w:t>189</w:t>
                  </w:r>
                </w:fldSimple>
              </w:p>
            </w:txbxContent>
          </v:textbox>
          <w10:wrap anchorx="page" anchory="page"/>
        </v:shape>
      </w:pict>
    </w:r>
    <w:r>
      <w:rPr>
        <w:noProof/>
        <w:lang w:eastAsia="pl-PL"/>
      </w:rPr>
      <w:pict>
        <v:shapetype id="_x0000_t32" coordsize="21600,21600" o:spt="32" o:oned="t" path="m,l21600,21600e" filled="f">
          <v:path arrowok="t" fillok="f" o:connecttype="none"/>
          <o:lock v:ext="edit" shapetype="t"/>
        </v:shapetype>
        <v:shape id="Łącznik prosty ze strzałką 914" o:spid="_x0000_s4115" type="#_x0000_t32" style="position:absolute;left:0;text-align:left;margin-left:80.4pt;margin-top:806.45pt;width:434.5pt;height:0;z-index:251713536;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" strokecolor="gray" strokeweight="1pt">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6554D8">
    <w:pPr>
      <w:pStyle w:val="Stopka"/>
    </w:pPr>
    <w:r>
      <w:rPr>
        <w:noProof/>
        <w:lang w:eastAsia="pl-PL"/>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4114" type="#_x0000_t185" style="position:absolute;left:0;text-align:left;margin-left:276.15pt;margin-top:797.05pt;width:42.05pt;height:18.8pt;z-index:251717632;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" filled="t" strokecolor="gray" strokeweight="2.25pt">
          <v:textbox inset=",0,,0">
            <w:txbxContent>
              <w:p w:rsidR="00832320" w:rsidRDefault="001B04AC">
                <w:pPr>
                  <w:jc w:val="center"/>
                </w:pPr>
                <w:fldSimple w:instr="PAGE    \* MERGEFORMAT">
                  <w:r w:rsidR="00832320">
                    <w:rPr>
                      <w:noProof/>
                    </w:rPr>
                    <w:t>158</w:t>
                  </w:r>
                </w:fldSimple>
              </w:p>
            </w:txbxContent>
          </v:textbox>
          <w10:wrap anchorx="page" anchory="page"/>
        </v:shape>
      </w:pict>
    </w:r>
    <w:r>
      <w:rPr>
        <w:noProof/>
        <w:lang w:eastAsia="pl-PL"/>
      </w:rPr>
      <w:pict>
        <v:shapetype id="_x0000_t32" coordsize="21600,21600" o:spt="32" o:oned="t" path="m,l21600,21600e" filled="f">
          <v:path arrowok="t" fillok="f" o:connecttype="none"/>
          <o:lock v:ext="edit" shapetype="t"/>
        </v:shapetype>
        <v:shape id="_x0000_s4113" type="#_x0000_t32" style="position:absolute;left:0;text-align:left;margin-left:80.4pt;margin-top:806.45pt;width:434.5pt;height:0;z-index:251716608;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" strokecolor="gray" strokeweight="1pt">
          <w10:wrap anchorx="page" anchory="page"/>
        </v:shape>
      </w:pict>
    </w:r>
  </w:p>
  <w:p w:rsidR="00832320" w:rsidRDefault="001B04AC" w:rsidP="006554D8">
    <w:pPr>
      <w:pStyle w:val="Stopka"/>
    </w:pPr>
    <w:r>
      <w:rPr>
        <w:noProof/>
        <w:lang w:eastAsia="pl-PL"/>
      </w:rPr>
      <w:pict>
        <v:shape id="_x0000_s4112" type="#_x0000_t185" style="position:absolute;left:0;text-align:left;margin-left:276.45pt;margin-top:797.05pt;width:42.4pt;height:18.8pt;z-index:251719680;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" filled="t" strokecolor="gray" strokeweight="2.25pt">
          <v:textbox inset=",0,,0">
            <w:txbxContent>
              <w:p w:rsidR="00832320" w:rsidRDefault="001B04AC">
                <w:pPr>
                  <w:jc w:val="center"/>
                </w:pPr>
                <w:fldSimple w:instr="PAGE    \* MERGEFORMAT">
                  <w:r w:rsidR="00832320">
                    <w:rPr>
                      <w:noProof/>
                    </w:rPr>
                    <w:t>158</w:t>
                  </w:r>
                </w:fldSimple>
              </w:p>
            </w:txbxContent>
          </v:textbox>
          <w10:wrap anchorx="page" anchory="page"/>
        </v:shape>
      </w:pict>
    </w:r>
    <w:r>
      <w:rPr>
        <w:noProof/>
        <w:lang w:eastAsia="pl-PL"/>
      </w:rPr>
      <w:pict>
        <v:shape id="_x0000_s4111" type="#_x0000_t32" style="position:absolute;left:0;text-align:left;margin-left:80.5pt;margin-top:806.45pt;width:434.5pt;height:0;z-index:251718656;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" strokecolor="gray" strokeweight="1pt">
          <w10:wrap anchorx="page" anchory="page"/>
        </v:shape>
      </w:pict>
    </w:r>
  </w:p>
  <w:p w:rsidR="00832320" w:rsidRPr="006554D8" w:rsidRDefault="00832320" w:rsidP="006554D8">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6554D8">
    <w:pPr>
      <w:pStyle w:val="Stopka"/>
    </w:pPr>
    <w:r>
      <w:rPr>
        <w:noProof/>
        <w:lang w:eastAsia="pl-PL"/>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4110" type="#_x0000_t185" style="position:absolute;left:0;text-align:left;margin-left:276.15pt;margin-top:797.05pt;width:67.05pt;height:18.8pt;z-index:251739136;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" filled="t" strokecolor="gray" strokeweight="2.25pt">
          <v:textbox inset=",0,,0">
            <w:txbxContent>
              <w:p w:rsidR="00832320" w:rsidRDefault="001B04AC">
                <w:pPr>
                  <w:jc w:val="center"/>
                </w:pPr>
                <w:fldSimple w:instr="PAGE    \* MERGEFORMAT">
                  <w:r w:rsidR="009E5A80">
                    <w:rPr>
                      <w:noProof/>
                    </w:rPr>
                    <w:t>91</w:t>
                  </w:r>
                </w:fldSimple>
              </w:p>
            </w:txbxContent>
          </v:textbox>
          <w10:wrap anchorx="page" anchory="page"/>
        </v:shape>
      </w:pict>
    </w:r>
    <w:r>
      <w:rPr>
        <w:noProof/>
        <w:lang w:eastAsia="pl-PL"/>
      </w:rPr>
      <w:pict>
        <v:shapetype id="_x0000_t32" coordsize="21600,21600" o:spt="32" o:oned="t" path="m,l21600,21600e" filled="f">
          <v:path arrowok="t" fillok="f" o:connecttype="none"/>
          <o:lock v:ext="edit" shapetype="t"/>
        </v:shapetype>
        <v:shape id="_x0000_s4109" type="#_x0000_t32" style="position:absolute;left:0;text-align:left;margin-left:80.4pt;margin-top:806.45pt;width:434.5pt;height:0;z-index:251738112;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" strokecolor="gray" strokeweight="1pt">
          <w10:wrap anchorx="page" anchory="page"/>
        </v:shape>
      </w:pict>
    </w:r>
  </w:p>
  <w:p w:rsidR="00832320" w:rsidRDefault="001B04AC" w:rsidP="006554D8">
    <w:pPr>
      <w:pStyle w:val="Stopka"/>
    </w:pPr>
    <w:r>
      <w:rPr>
        <w:noProof/>
        <w:lang w:eastAsia="pl-PL"/>
      </w:rPr>
      <w:pict>
        <v:shape id="_x0000_s4108" type="#_x0000_t185" style="position:absolute;left:0;text-align:left;margin-left:276.45pt;margin-top:797.05pt;width:67.4pt;height:18.8pt;z-index:251741184;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" filled="t" strokecolor="gray" strokeweight="2.25pt">
          <v:textbox inset=",0,,0">
            <w:txbxContent>
              <w:p w:rsidR="00832320" w:rsidRDefault="001B04AC">
                <w:pPr>
                  <w:jc w:val="center"/>
                </w:pPr>
                <w:fldSimple w:instr="PAGE    \* MERGEFORMAT">
                  <w:r w:rsidR="009E5A80">
                    <w:rPr>
                      <w:noProof/>
                    </w:rPr>
                    <w:t>91</w:t>
                  </w:r>
                </w:fldSimple>
              </w:p>
            </w:txbxContent>
          </v:textbox>
          <w10:wrap anchorx="page" anchory="page"/>
        </v:shape>
      </w:pict>
    </w:r>
    <w:r>
      <w:rPr>
        <w:noProof/>
        <w:lang w:eastAsia="pl-PL"/>
      </w:rPr>
      <w:pict>
        <v:shape id="_x0000_s4107" type="#_x0000_t32" style="position:absolute;left:0;text-align:left;margin-left:80.5pt;margin-top:806.45pt;width:434.5pt;height:0;z-index:251740160;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" strokecolor="gray" strokeweight="1pt">
          <w10:wrap anchorx="page" anchory="page"/>
        </v:shape>
      </w:pict>
    </w:r>
  </w:p>
  <w:p w:rsidR="00832320" w:rsidRPr="006554D8" w:rsidRDefault="00832320" w:rsidP="006554D8">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6554D8">
    <w:pPr>
      <w:pStyle w:val="Stopka"/>
    </w:pPr>
    <w:r>
      <w:rPr>
        <w:noProof/>
        <w:lang w:eastAsia="pl-PL"/>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4106" type="#_x0000_t185" style="position:absolute;left:0;text-align:left;margin-left:276.15pt;margin-top:797.05pt;width:67.15pt;height:18.8pt;z-index:251724800;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" filled="t" strokecolor="gray" strokeweight="2.25pt">
          <v:textbox inset=",0,,0">
            <w:txbxContent>
              <w:p w:rsidR="00832320" w:rsidRDefault="001B04AC">
                <w:pPr>
                  <w:jc w:val="center"/>
                </w:pPr>
                <w:fldSimple w:instr="PAGE    \* MERGEFORMAT">
                  <w:r w:rsidR="009E5A80">
                    <w:rPr>
                      <w:noProof/>
                    </w:rPr>
                    <w:t>113</w:t>
                  </w:r>
                </w:fldSimple>
              </w:p>
            </w:txbxContent>
          </v:textbox>
          <w10:wrap anchorx="page" anchory="page"/>
        </v:shape>
      </w:pict>
    </w:r>
    <w:r>
      <w:rPr>
        <w:noProof/>
        <w:lang w:eastAsia="pl-PL"/>
      </w:rPr>
      <w:pict>
        <v:shapetype id="_x0000_t32" coordsize="21600,21600" o:spt="32" o:oned="t" path="m,l21600,21600e" filled="f">
          <v:path arrowok="t" fillok="f" o:connecttype="none"/>
          <o:lock v:ext="edit" shapetype="t"/>
        </v:shapetype>
        <v:shape id="_x0000_s4105" type="#_x0000_t32" style="position:absolute;left:0;text-align:left;margin-left:80.4pt;margin-top:806.45pt;width:434.5pt;height:0;z-index:251723776;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" strokecolor="gray" strokeweight="1pt">
          <w10:wrap anchorx="page" anchory="page"/>
        </v:shape>
      </w:pict>
    </w:r>
  </w:p>
  <w:p w:rsidR="00832320" w:rsidRDefault="001B04AC" w:rsidP="006554D8">
    <w:pPr>
      <w:pStyle w:val="Stopka"/>
    </w:pPr>
    <w:r>
      <w:rPr>
        <w:noProof/>
        <w:lang w:eastAsia="pl-PL"/>
      </w:rPr>
      <w:pict>
        <v:shape id="_x0000_s4104" type="#_x0000_t185" style="position:absolute;left:0;text-align:left;margin-left:276.45pt;margin-top:797.05pt;width:67.5pt;height:18.8pt;z-index:251726848;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" filled="t" strokecolor="gray" strokeweight="2.25pt">
          <v:textbox inset=",0,,0">
            <w:txbxContent>
              <w:p w:rsidR="00832320" w:rsidRDefault="001B04AC">
                <w:pPr>
                  <w:jc w:val="center"/>
                </w:pPr>
                <w:fldSimple w:instr="PAGE    \* MERGEFORMAT">
                  <w:r w:rsidR="009E5A80">
                    <w:rPr>
                      <w:noProof/>
                    </w:rPr>
                    <w:t>113</w:t>
                  </w:r>
                </w:fldSimple>
              </w:p>
            </w:txbxContent>
          </v:textbox>
          <w10:wrap anchorx="page" anchory="page"/>
        </v:shape>
      </w:pict>
    </w:r>
    <w:r>
      <w:rPr>
        <w:noProof/>
        <w:lang w:eastAsia="pl-PL"/>
      </w:rPr>
      <w:pict>
        <v:shape id="_x0000_s4103" type="#_x0000_t32" style="position:absolute;left:0;text-align:left;margin-left:80.5pt;margin-top:806.45pt;width:434.5pt;height:0;z-index:251725824;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" strokecolor="gray" strokeweight="1pt">
          <w10:wrap anchorx="page" anchory="page"/>
        </v:shape>
      </w:pict>
    </w:r>
  </w:p>
  <w:sdt>
    <w:sdtPr>
      <w:id w:val="418918574"/>
      <w:docPartObj>
        <w:docPartGallery w:val="Page Numbers (Bottom of Page)"/>
        <w:docPartUnique/>
      </w:docPartObj>
    </w:sdtPr>
    <w:sdtContent>
      <w:p w:rsidR="00832320" w:rsidRPr="006554D8" w:rsidRDefault="001B04AC" w:rsidP="006554D8">
        <w:pPr>
          <w:pStyle w:val="Stopka"/>
        </w:pPr>
        <w:r>
          <w:rPr>
            <w:noProof/>
            <w:lang w:eastAsia="pl-PL"/>
          </w:rPr>
          <w:pict>
            <v:shape id="_x0000_s4102" type="#_x0000_t185" style="position:absolute;left:0;text-align:left;margin-left:0;margin-top:0;width:67.15pt;height:18.8pt;z-index:251722752;visibility:visible;mso-width-percent:100;mso-position-horizontal:center;mso-position-horizontal-relative:margin;mso-position-vertical:center;mso-position-vertical-relative:bottom-margin-area;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" filled="t" strokecolor="gray" strokeweight="2.25pt">
              <v:textbox inset=",0,,0">
                <w:txbxContent>
                  <w:p w:rsidR="00832320" w:rsidRDefault="001B04AC">
                    <w:pPr>
                      <w:jc w:val="center"/>
                    </w:pPr>
                    <w:fldSimple w:instr="PAGE    \* MERGEFORMAT">
                      <w:r w:rsidR="009E5A80">
                        <w:rPr>
                          <w:noProof/>
                        </w:rPr>
                        <w:t>113</w:t>
                      </w:r>
                    </w:fldSimple>
                  </w:p>
                </w:txbxContent>
              </v:textbox>
              <w10:wrap anchorx="margin" anchory="margin"/>
            </v:shape>
          </w:pict>
        </w:r>
        <w:r>
          <w:rPr>
            <w:noProof/>
            <w:lang w:eastAsia="pl-PL"/>
          </w:rPr>
          <w:pict>
            <v:shape id="_x0000_s4101" type="#_x0000_t32" style="position:absolute;left:0;text-align:left;margin-left:0;margin-top:0;width:434.5pt;height:0;z-index:251721728;visibility:visible;mso-wrap-distance-top:-1e-4mm;mso-wrap-distance-bottom:-1e-4mm;mso-position-horizontal:center;mso-position-horizontal-relative:margin;mso-position-vertical:center;mso-position-vertical-relative:bottom-margin-area;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C8BhWhkAgAA3QQAAA4AAAAAAAAAAAAAAAAALgIAAGRycy9lMm9Eb2Mu&#10;eG1sUEsBAi0AFAAGAAgAAAAhAPWmTdfXAAAAAgEAAA8AAAAAAAAAAAAAAAAAvgQAAGRycy9kb3du&#10;cmV2LnhtbFBLBQYAAAAABAAEAPMAAADCBQAAAAA=&#10;" strokecolor="gray" strokeweight="1pt">
              <w10:wrap anchorx="margin" anchory="margin"/>
            </v:shape>
          </w:pict>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6554D8">
    <w:pPr>
      <w:pStyle w:val="Stopka"/>
    </w:pPr>
    <w:r>
      <w:rPr>
        <w:noProof/>
        <w:lang w:eastAsia="pl-PL"/>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4100" type="#_x0000_t185" style="position:absolute;left:0;text-align:left;margin-left:276.15pt;margin-top:797.05pt;width:66.85pt;height:18.8pt;z-index:251711488;visibility:visible;mso-width-percent:100;mso-position-horizontal-relative:page;mso-position-vertical-relative:page;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" filled="t" strokecolor="gray" strokeweight="2.25pt">
          <v:textbox inset=",0,,0">
            <w:txbxContent>
              <w:p w:rsidR="00832320" w:rsidRDefault="001B04AC">
                <w:pPr>
                  <w:jc w:val="center"/>
                </w:pPr>
                <w:fldSimple w:instr="PAGE    \* MERGEFORMAT">
                  <w:r w:rsidR="00832320">
                    <w:rPr>
                      <w:noProof/>
                    </w:rPr>
                    <w:t>158</w:t>
                  </w:r>
                </w:fldSimple>
              </w:p>
            </w:txbxContent>
          </v:textbox>
          <w10:wrap anchorx="page" anchory="page"/>
        </v:shape>
      </w:pict>
    </w:r>
    <w:r>
      <w:rPr>
        <w:noProof/>
        <w:lang w:eastAsia="pl-PL"/>
      </w:rPr>
      <w:pict>
        <v:shapetype id="_x0000_t32" coordsize="21600,21600" o:spt="32" o:oned="t" path="m,l21600,21600e" filled="f">
          <v:path arrowok="t" fillok="f" o:connecttype="none"/>
          <o:lock v:ext="edit" shapetype="t"/>
        </v:shapetype>
        <v:shape id="_x0000_s4099" type="#_x0000_t32" style="position:absolute;left:0;text-align:left;margin-left:80.4pt;margin-top:806.45pt;width:434.5pt;height:0;z-index:251710464;visibility:visible;mso-wrap-distance-top:-1e-4mm;mso-wrap-distance-bottom:-1e-4mm;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" strokecolor="gray" strokeweight="1pt">
          <w10:wrap anchorx="page" anchory="page"/>
        </v:shape>
      </w:pict>
    </w:r>
  </w:p>
  <w:sdt>
    <w:sdtPr>
      <w:id w:val="-902600247"/>
      <w:docPartObj>
        <w:docPartGallery w:val="Page Numbers (Bottom of Page)"/>
        <w:docPartUnique/>
      </w:docPartObj>
    </w:sdtPr>
    <w:sdtContent>
      <w:p w:rsidR="00832320" w:rsidRPr="006554D8" w:rsidRDefault="001B04AC" w:rsidP="006554D8">
        <w:pPr>
          <w:pStyle w:val="Stopka"/>
        </w:pPr>
        <w:r>
          <w:rPr>
            <w:noProof/>
            <w:lang w:eastAsia="pl-PL"/>
          </w:rPr>
          <w:pict>
            <v:shape id="_x0000_s4098" type="#_x0000_t185" style="position:absolute;left:0;text-align:left;margin-left:0;margin-top:0;width:66.85pt;height:18.8pt;z-index:251694080;visibility:visible;mso-width-percent:100;mso-position-horizontal:center;mso-position-horizontal-relative:margin;mso-position-vertical:center;mso-position-vertical-relative:bottom-margin-area;mso-width-percent:100;mso-width-relative:margin;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" filled="t" strokecolor="gray" strokeweight="2.25pt">
              <v:textbox inset=",0,,0">
                <w:txbxContent>
                  <w:p w:rsidR="00832320" w:rsidRDefault="001B04AC">
                    <w:pPr>
                      <w:jc w:val="center"/>
                    </w:pPr>
                    <w:fldSimple w:instr="PAGE    \* MERGEFORMAT">
                      <w:r w:rsidR="00832320">
                        <w:rPr>
                          <w:noProof/>
                        </w:rPr>
                        <w:t>158</w:t>
                      </w:r>
                    </w:fldSimple>
                  </w:p>
                </w:txbxContent>
              </v:textbox>
              <w10:wrap anchorx="margin" anchory="margin"/>
            </v:shape>
          </w:pict>
        </w:r>
        <w:r>
          <w:rPr>
            <w:noProof/>
            <w:lang w:eastAsia="pl-PL"/>
          </w:rPr>
          <w:pict>
            <v:shape id="Autokształt 21" o:spid="_x0000_s4097" type="#_x0000_t32" style="position:absolute;left:0;text-align:left;margin-left:0;margin-top:0;width:434.5pt;height:0;z-index:251693056;visibility:visible;mso-wrap-distance-top:-1e-4mm;mso-wrap-distance-bottom:-1e-4mm;mso-position-horizontal:center;mso-position-horizontal-relative:margin;mso-position-vertical:center;mso-position-vertical-relative:bottom-margin-area;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" strokecolor="gray" strokeweight="1pt">
              <w10:wrap anchorx="margin" anchory="margin"/>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A164A" w:rsidRDefault="00DA164A" w:rsidP="00AA21EB">
      <w:pPr>
        <w:spacing w:after="0" w:line="240" w:lineRule="auto"/>
      </w:pPr>
      <w:r>
        <w:separator/>
      </w:r>
    </w:p>
  </w:footnote>
  <w:footnote w:type="continuationSeparator" w:id="0">
    <w:p w:rsidR="00DA164A" w:rsidRDefault="00DA164A" w:rsidP="00AA21EB">
      <w:pPr>
        <w:spacing w:after="0" w:line="240" w:lineRule="auto"/>
      </w:pPr>
      <w:r>
        <w:continuationSeparator/>
      </w:r>
    </w:p>
  </w:footnote>
  <w:footnote w:id="1">
    <w:p w:rsidR="00832320" w:rsidRDefault="00832320" w:rsidP="00E015F3">
      <w:pPr>
        <w:pStyle w:val="Tekstprzypisudolnego"/>
      </w:pPr>
      <w:r>
        <w:rPr>
          <w:rStyle w:val="Odwoanieprzypisudolnego"/>
        </w:rPr>
        <w:footnoteRef/>
      </w:r>
      <w:r>
        <w:t xml:space="preserve"> Gdzie X to numer osi priorytetowej. </w:t>
      </w:r>
    </w:p>
  </w:footnote>
  <w:footnote w:id="2">
    <w:p w:rsidR="00832320" w:rsidRPr="00E87F69" w:rsidRDefault="00832320" w:rsidP="00B10955">
      <w:pPr>
        <w:pStyle w:val="Tekstprzypisudolnego"/>
        <w:rPr>
          <w:lang w:val="en-GB"/>
        </w:rPr>
      </w:pPr>
      <w:r>
        <w:rPr>
          <w:rStyle w:val="Odwoanieprzypisudolnego"/>
        </w:rPr>
        <w:footnoteRef/>
      </w:r>
      <w:r>
        <w:rPr>
          <w:lang w:val="en-GB"/>
        </w:rPr>
        <w:t xml:space="preserve"> Riche, M. (2012) </w:t>
      </w:r>
      <w:r>
        <w:rPr>
          <w:i/>
          <w:lang w:val="en-GB"/>
        </w:rPr>
        <w:t xml:space="preserve">Theory Based Evaluation: A wealth of approaches and untapped potential, </w:t>
      </w:r>
      <w:r>
        <w:rPr>
          <w:lang w:val="en-GB"/>
        </w:rPr>
        <w:t>Komisja Europejska.</w:t>
      </w:r>
    </w:p>
  </w:footnote>
  <w:footnote w:id="3">
    <w:p w:rsidR="00832320" w:rsidRDefault="00832320" w:rsidP="00E015F3">
      <w:r>
        <w:rPr>
          <w:rStyle w:val="Odwoanieprzypisudolnego"/>
        </w:rPr>
        <w:footnoteRef/>
      </w:r>
      <w:r>
        <w:t xml:space="preserve"> </w:t>
      </w:r>
      <w:r w:rsidRPr="00AF436B">
        <w:rPr>
          <w:sz w:val="20"/>
        </w:rPr>
        <w:t xml:space="preserve">Modele DSGE (ang. </w:t>
      </w:r>
      <w:r w:rsidRPr="00AF436B">
        <w:rPr>
          <w:i/>
          <w:sz w:val="20"/>
        </w:rPr>
        <w:t>Dynamic Stochastic General Equilibrium</w:t>
      </w:r>
      <w:r w:rsidRPr="00AF436B">
        <w:rPr>
          <w:sz w:val="20"/>
        </w:rPr>
        <w:t>) – jest to klasa modeli dynamicznej stochastycznej równowagi ogólnej. W tego typu modelach podmioty gospodarcze podejmują decyzję w warunkach niepewności, z uwzględnieniem oczekiwań co do przyszłych warunków makroekonomicznych. Ponadto wszystkie rynki w modelu oczyszczają się, równoważąc popyt z podażą.</w:t>
      </w:r>
    </w:p>
  </w:footnote>
  <w:footnote w:id="4">
    <w:p w:rsidR="00832320" w:rsidRDefault="00832320" w:rsidP="00424449">
      <w:pPr>
        <w:pStyle w:val="Tekstprzypisudolnego"/>
      </w:pPr>
      <w:r>
        <w:rPr>
          <w:rStyle w:val="Odwoanieprzypisudolnego"/>
        </w:rPr>
        <w:footnoteRef/>
      </w:r>
      <w:r>
        <w:t xml:space="preserve"> Przegląd literatury nt. przesłanek prowadzenia wsparcia B+R i innowacji znaleźć można np. w raporcie </w:t>
      </w:r>
      <w:r>
        <w:rPr>
          <w:i/>
        </w:rPr>
        <w:t>Ocena wpływu polityki spójności na wzrost konkurencyjności i innowacyjności polskich przedsiębiorstw i gospodarki</w:t>
      </w:r>
      <w:r>
        <w:t>, IBS dla MRR, 2010.</w:t>
      </w:r>
    </w:p>
  </w:footnote>
  <w:footnote w:id="5">
    <w:p w:rsidR="00832320" w:rsidRDefault="00832320" w:rsidP="00424449">
      <w:pPr>
        <w:pStyle w:val="Tekstprzypisudolnego"/>
      </w:pPr>
      <w:r>
        <w:rPr>
          <w:rStyle w:val="Odwoanieprzypisudolnego"/>
        </w:rPr>
        <w:footnoteRef/>
      </w:r>
      <w:r>
        <w:rPr>
          <w:i/>
        </w:rPr>
        <w:t>Ośrodki innowacji i przedsiębiorczości w Polsce 2012</w:t>
      </w:r>
      <w:r>
        <w:t xml:space="preserve">, SOOiPP, Warszawa, 2013. </w:t>
      </w:r>
    </w:p>
  </w:footnote>
  <w:footnote w:id="6">
    <w:p w:rsidR="00832320" w:rsidRDefault="00832320" w:rsidP="00424449">
      <w:pPr>
        <w:pStyle w:val="Tekstprzypisudolnego"/>
      </w:pPr>
      <w:r>
        <w:rPr>
          <w:rStyle w:val="Odwoanieprzypisudolnego"/>
        </w:rPr>
        <w:footnoteRef/>
      </w:r>
      <w:r>
        <w:rPr>
          <w:i/>
        </w:rPr>
        <w:t>Ocena pierwszych efektów projektów z działania I.4.1 i I.4.2 PO RPW związanych z pozyskaniem inwestorów do Polski Wschodniej</w:t>
      </w:r>
      <w:r>
        <w:t>, PARP 2013.</w:t>
      </w:r>
    </w:p>
  </w:footnote>
  <w:footnote w:id="7">
    <w:p w:rsidR="00832320" w:rsidRDefault="00832320" w:rsidP="00424449">
      <w:pPr>
        <w:pStyle w:val="Tekstprzypisudolnego"/>
      </w:pPr>
      <w:r>
        <w:rPr>
          <w:rStyle w:val="Odwoanieprzypisudolnego"/>
        </w:rPr>
        <w:footnoteRef/>
      </w:r>
      <w:r>
        <w:rPr>
          <w:i/>
        </w:rPr>
        <w:t xml:space="preserve">Plany i potrzeby przedsiębiorców sektora MSP w zakresie rozwoju eksportu i powiązań z zagranicznymi rynkami i partnerami handlowymi, w kontekście uruchomienia działania 6.1 P IG  Paszport do eksportu </w:t>
      </w:r>
      <w:r>
        <w:t>PAG dla PARP, 2009 – na podstawie prezentacji z badania.</w:t>
      </w:r>
    </w:p>
  </w:footnote>
  <w:footnote w:id="8">
    <w:p w:rsidR="00832320" w:rsidRDefault="00832320" w:rsidP="00424449">
      <w:pPr>
        <w:pStyle w:val="Tekstprzypisudolnego"/>
      </w:pPr>
      <w:r>
        <w:rPr>
          <w:rStyle w:val="Odwoanieprzypisudolnego"/>
        </w:rPr>
        <w:footnoteRef/>
      </w:r>
      <w:r>
        <w:rPr>
          <w:i/>
        </w:rPr>
        <w:t>Ewaluacja wkładu bezpośrednich dotacji inwestycyjnych udzielonych w ramach RPO WP we wzrost innowacyjności oraz konkurencyjności mikro, małych i średnich przedsiębiorstw województwa podkarpackiego</w:t>
      </w:r>
      <w:r>
        <w:t xml:space="preserve">, IBS dla UM Województwa Podkarpackiego, 2012. </w:t>
      </w:r>
    </w:p>
  </w:footnote>
  <w:footnote w:id="9">
    <w:p w:rsidR="00832320" w:rsidRDefault="00832320" w:rsidP="00424449">
      <w:pPr>
        <w:pStyle w:val="Tekstprzypisudolnego"/>
      </w:pPr>
      <w:r>
        <w:rPr>
          <w:rStyle w:val="Odwoanieprzypisudolnego"/>
        </w:rPr>
        <w:footnoteRef/>
      </w:r>
      <w:r>
        <w:t xml:space="preserve"> Wg badania </w:t>
      </w:r>
      <w:r>
        <w:rPr>
          <w:i/>
        </w:rPr>
        <w:t xml:space="preserve">Rola instrumentów inżynierii finansowej w zaspokajaniu potrzeb finansowych przedsiębiorstw w województwie podkarpackim </w:t>
      </w:r>
      <w:r>
        <w:t>(PAG dla UM Województwa Podkarpackiego, 2011), obecnie funkcjonujące instrumenty zwrotne nie konkurowały z dotacjami udzielanymi w ramach RPO – jednak było tak ze względu na stosunkowo niewielką alokację w instrumentach zwrotnych oraz uruchamianie wsparcia w różnych okresach.</w:t>
      </w:r>
    </w:p>
  </w:footnote>
  <w:footnote w:id="10">
    <w:p w:rsidR="00832320" w:rsidRDefault="00832320" w:rsidP="00424449">
      <w:pPr>
        <w:pStyle w:val="Tekstprzypisudolnego"/>
      </w:pPr>
      <w:r>
        <w:rPr>
          <w:rStyle w:val="Odwoanieprzypisudolnego"/>
        </w:rPr>
        <w:footnoteRef/>
      </w:r>
      <w:r>
        <w:rPr>
          <w:i/>
        </w:rPr>
        <w:t>Ocena luki finansowej w zakresie dostępu polskich przedsiębiorstw do finansowania zewnętrznego. Wnioski i rekomendacje dla procesu programowania polityki spójności w okresie 2014-2020</w:t>
      </w:r>
      <w:r>
        <w:t xml:space="preserve">, IBS dla MRR, 2013. </w:t>
      </w:r>
    </w:p>
  </w:footnote>
  <w:footnote w:id="11">
    <w:p w:rsidR="00832320" w:rsidRDefault="00832320" w:rsidP="00424449">
      <w:pPr>
        <w:pStyle w:val="Tekstprzypisudolnego"/>
      </w:pPr>
      <w:r>
        <w:rPr>
          <w:rStyle w:val="Odwoanieprzypisudolnego"/>
        </w:rPr>
        <w:footnoteRef/>
      </w:r>
      <w:r>
        <w:rPr>
          <w:i/>
        </w:rPr>
        <w:t>Ewaluacja komplementarności i efektywności wsparcia instytucji otoczenia biznesu świadczących usługi dla przedsiębiorców</w:t>
      </w:r>
      <w:r>
        <w:t>, PAG dla MRR, 2012.</w:t>
      </w:r>
    </w:p>
  </w:footnote>
  <w:footnote w:id="12">
    <w:p w:rsidR="00832320" w:rsidRDefault="00832320" w:rsidP="00424449">
      <w:pPr>
        <w:pStyle w:val="Tekstprzypisudolnego"/>
      </w:pPr>
      <w:r>
        <w:rPr>
          <w:rStyle w:val="Odwoanieprzypisudolnego"/>
        </w:rPr>
        <w:footnoteRef/>
      </w:r>
      <w:r>
        <w:rPr>
          <w:i/>
        </w:rPr>
        <w:t>Wpływ wsparcia RPO WP na lata 2007-2013 na funkcjonowanie instytucji otoczenia biznesu</w:t>
      </w:r>
      <w:r>
        <w:t xml:space="preserve"> Re-Source dla UM Województwa Podkarpackiego, 2013. Pierwsza rekomendacja z badania brzmi: </w:t>
      </w:r>
      <w:r>
        <w:rPr>
          <w:i/>
        </w:rPr>
        <w:t xml:space="preserve">W przyszłym okresie finansowania szczególny nacisk powinien być położony na wspomaganie procesu świadczenia przez IOB tych usług, które zgodnie z tendencjami występującymi na rynku tego rodzaju usług ocenić należy jako obecnie najistotniejsze lub rozwojowe. </w:t>
      </w:r>
    </w:p>
  </w:footnote>
  <w:footnote w:id="13">
    <w:p w:rsidR="00832320" w:rsidRDefault="00832320" w:rsidP="00424449">
      <w:pPr>
        <w:pStyle w:val="Tekstprzypisudolnego"/>
      </w:pPr>
      <w:r>
        <w:rPr>
          <w:rStyle w:val="Odwoanieprzypisudolnego"/>
        </w:rPr>
        <w:footnoteRef/>
      </w:r>
      <w:r>
        <w:rPr>
          <w:i/>
        </w:rPr>
        <w:t>Ocena wpływu projektów realizowanych w ramach IV Osi Priorytetowej PO IG na stan środowiska naturalnego oraz efektywność energetyczną w Polsce</w:t>
      </w:r>
      <w:r>
        <w:t>, IBS, Warszawa, 2012.</w:t>
      </w:r>
    </w:p>
  </w:footnote>
  <w:footnote w:id="14">
    <w:p w:rsidR="00832320" w:rsidRDefault="00832320" w:rsidP="00821189">
      <w:pPr>
        <w:pStyle w:val="Tekstprzypisudolnego"/>
      </w:pPr>
      <w:r>
        <w:rPr>
          <w:rStyle w:val="Odwoanieprzypisudolnego"/>
        </w:rPr>
        <w:footnoteRef/>
      </w:r>
      <w:r>
        <w:rPr>
          <w:i/>
        </w:rPr>
        <w:t>Ewaluacja zmian w systemie wyboru projektów w ramach wybranych działań PO IG 2007-2013</w:t>
      </w:r>
      <w:r>
        <w:t>, IBS dla MRR 2013.</w:t>
      </w:r>
    </w:p>
  </w:footnote>
  <w:footnote w:id="15">
    <w:p w:rsidR="00832320" w:rsidRDefault="00832320" w:rsidP="00424449">
      <w:pPr>
        <w:pStyle w:val="Tekstprzypisudolnego"/>
      </w:pPr>
      <w:r>
        <w:rPr>
          <w:rStyle w:val="Odwoanieprzypisudolnego"/>
        </w:rPr>
        <w:footnoteRef/>
      </w:r>
      <w:r>
        <w:t xml:space="preserve"> </w:t>
      </w:r>
      <w:r w:rsidRPr="00676C39">
        <w:rPr>
          <w:i/>
        </w:rPr>
        <w:t>Wojewódzki Program Rozwoju Odnawialnych Źródeł Energii dla Województwa Podkarpackiego</w:t>
      </w:r>
      <w:r>
        <w:t xml:space="preserve">. </w:t>
      </w:r>
    </w:p>
  </w:footnote>
  <w:footnote w:id="16">
    <w:p w:rsidR="00832320" w:rsidRDefault="00832320" w:rsidP="00424449">
      <w:pPr>
        <w:pStyle w:val="Tekstprzypisudolnego"/>
      </w:pPr>
      <w:r>
        <w:rPr>
          <w:rStyle w:val="Odwoanieprzypisudolnego"/>
        </w:rPr>
        <w:footnoteRef/>
      </w:r>
      <w:r>
        <w:t xml:space="preserve"> Tj. na czym polega tutaj zawodność rynków uzasadniająca interwencję publiczna – p. uwagi do części projekcyjnej. </w:t>
      </w:r>
    </w:p>
  </w:footnote>
  <w:footnote w:id="17">
    <w:p w:rsidR="00832320" w:rsidRDefault="00832320" w:rsidP="00424449">
      <w:pPr>
        <w:pStyle w:val="Tekstprzypisudolnego"/>
      </w:pPr>
      <w:r>
        <w:rPr>
          <w:rStyle w:val="Odwoanieprzypisudolnego"/>
        </w:rPr>
        <w:footnoteRef/>
      </w:r>
      <w:r>
        <w:t xml:space="preserve"> Np. dane publikowane przez URE. </w:t>
      </w:r>
    </w:p>
  </w:footnote>
  <w:footnote w:id="18">
    <w:p w:rsidR="00832320" w:rsidRDefault="00832320" w:rsidP="00424449">
      <w:pPr>
        <w:pStyle w:val="Tekstprzypisudolnego"/>
      </w:pPr>
      <w:r>
        <w:rPr>
          <w:rStyle w:val="Odwoanieprzypisudolnego"/>
        </w:rPr>
        <w:footnoteRef/>
      </w:r>
      <w:r>
        <w:t xml:space="preserve"> Korekty celów zaproponowano w ocenie poszczególnych priorytetów inwestycyjnych</w:t>
      </w:r>
    </w:p>
  </w:footnote>
  <w:footnote w:id="19">
    <w:p w:rsidR="00832320" w:rsidRPr="00DF5601" w:rsidRDefault="00832320" w:rsidP="00424449">
      <w:pPr>
        <w:pStyle w:val="Tekstprzypisudolnego"/>
        <w:rPr>
          <w:lang w:val="en-US"/>
        </w:rPr>
      </w:pPr>
      <w:r>
        <w:rPr>
          <w:rStyle w:val="Odwoanieprzypisudolnego"/>
        </w:rPr>
        <w:footnoteRef/>
      </w:r>
      <w:r w:rsidRPr="00A81706">
        <w:rPr>
          <w:i/>
          <w:lang w:val="en-GB"/>
        </w:rPr>
        <w:t xml:space="preserve">Do energy audits help reduce barriers to energy efficiency? </w:t>
      </w:r>
      <w:r>
        <w:rPr>
          <w:i/>
          <w:lang w:val="en-GB"/>
        </w:rPr>
        <w:t>An empirical analysis for Germany</w:t>
      </w:r>
      <w:r>
        <w:rPr>
          <w:lang w:val="en-GB"/>
        </w:rPr>
        <w:t>, Joachim Schleich, International Journal of Energy Technology and Policy, vol. 2 no. 3/2004.</w:t>
      </w:r>
    </w:p>
  </w:footnote>
  <w:footnote w:id="20">
    <w:p w:rsidR="00832320" w:rsidRPr="00904F9B" w:rsidRDefault="00832320" w:rsidP="00424449">
      <w:pPr>
        <w:pStyle w:val="Tekstprzypisudolnego"/>
      </w:pPr>
      <w:r>
        <w:rPr>
          <w:rStyle w:val="Odwoanieprzypisudolnego"/>
        </w:rPr>
        <w:footnoteRef/>
      </w:r>
      <w:r>
        <w:rPr>
          <w:i/>
        </w:rPr>
        <w:t xml:space="preserve"> Odmowy przyłączenia OZE do sieci przedsiębiorstw energetycznych, </w:t>
      </w:r>
      <w:r>
        <w:t>Małgorzata Górecka-Wszystko, Północno-Zachodni Oddział Terenowy Urzędu Regulacji Energetyki w Szczecinie, Szczecin 2012.</w:t>
      </w:r>
    </w:p>
  </w:footnote>
  <w:footnote w:id="21">
    <w:p w:rsidR="00832320" w:rsidRDefault="00832320" w:rsidP="00424449">
      <w:pPr>
        <w:pStyle w:val="Tekstprzypisudolnego"/>
      </w:pPr>
      <w:r>
        <w:rPr>
          <w:rStyle w:val="Odwoanieprzypisudolnego"/>
        </w:rPr>
        <w:footnoteRef/>
      </w:r>
      <w:r w:rsidRPr="00DC4E3E">
        <w:rPr>
          <w:i/>
        </w:rPr>
        <w:t>Ocena wpływu inwestycji w ramach działania 9.1, 9.4, 9.5, 9.6 oraz 10.3 PO IiŚ na realizację zobowiązań wynikających z dyrektywy 2009/28/WE</w:t>
      </w:r>
      <w:r w:rsidRPr="00DC4E3E">
        <w:t>, Instytut Badań Strukturalnych na zlecenie Ministerstwa Gospodarki, Warszawa 2012.</w:t>
      </w:r>
    </w:p>
  </w:footnote>
  <w:footnote w:id="22">
    <w:p w:rsidR="00832320" w:rsidRDefault="00832320" w:rsidP="00424449">
      <w:pPr>
        <w:pStyle w:val="Tekstprzypisudolnego"/>
      </w:pPr>
      <w:r>
        <w:rPr>
          <w:rStyle w:val="Odwoanieprzypisudolnego"/>
        </w:rPr>
        <w:footnoteRef/>
      </w:r>
      <w:r>
        <w:t xml:space="preserve"> Ibidem. </w:t>
      </w:r>
    </w:p>
  </w:footnote>
  <w:footnote w:id="23">
    <w:p w:rsidR="00832320" w:rsidRDefault="00832320" w:rsidP="00424449">
      <w:pPr>
        <w:pStyle w:val="Tekstprzypisudolnego"/>
      </w:pPr>
      <w:r>
        <w:rPr>
          <w:rStyle w:val="Odwoanieprzypisudolnego"/>
        </w:rPr>
        <w:footnoteRef/>
      </w:r>
      <w:r w:rsidRPr="0083413C">
        <w:t>Ibidem.</w:t>
      </w:r>
    </w:p>
  </w:footnote>
  <w:footnote w:id="24">
    <w:p w:rsidR="00832320" w:rsidRDefault="00832320" w:rsidP="00424449">
      <w:pPr>
        <w:pStyle w:val="Tekstprzypisudolnego"/>
      </w:pPr>
      <w:r>
        <w:rPr>
          <w:rStyle w:val="Odwoanieprzypisudolnego"/>
        </w:rPr>
        <w:footnoteRef/>
      </w:r>
      <w:r>
        <w:rPr>
          <w:i/>
        </w:rPr>
        <w:t>Świadomość energetyczna Polaków. Raport przygotowany przez TNS OBOP i Miesięcznik Gospodarczy Nowy Przemysł</w:t>
      </w:r>
      <w:r>
        <w:t>, Warszawa 2011.</w:t>
      </w:r>
    </w:p>
  </w:footnote>
  <w:footnote w:id="25">
    <w:p w:rsidR="00832320" w:rsidRPr="002413DC" w:rsidRDefault="00832320" w:rsidP="00424449">
      <w:pPr>
        <w:pStyle w:val="Tekstprzypisudolnego"/>
        <w:rPr>
          <w:lang w:val="en-US"/>
        </w:rPr>
      </w:pPr>
      <w:r>
        <w:rPr>
          <w:rStyle w:val="Odwoanieprzypisudolnego"/>
        </w:rPr>
        <w:footnoteRef/>
      </w:r>
      <w:r w:rsidRPr="005E6F45">
        <w:rPr>
          <w:i/>
          <w:lang w:val="en-US"/>
        </w:rPr>
        <w:t xml:space="preserve">Cost-effectivness of Cohesion Policy Investments in Energy Efficiency, </w:t>
      </w:r>
      <w:r w:rsidRPr="005E6F45">
        <w:rPr>
          <w:lang w:val="en-US"/>
        </w:rPr>
        <w:t>Europejski</w:t>
      </w:r>
      <w:r>
        <w:rPr>
          <w:lang w:val="en-US"/>
        </w:rPr>
        <w:t xml:space="preserve"> </w:t>
      </w:r>
      <w:r w:rsidRPr="005E6F45">
        <w:rPr>
          <w:lang w:val="en-US"/>
        </w:rPr>
        <w:t>Trybunał</w:t>
      </w:r>
      <w:r>
        <w:rPr>
          <w:lang w:val="en-US"/>
        </w:rPr>
        <w:t xml:space="preserve"> </w:t>
      </w:r>
      <w:r w:rsidRPr="005E6F45">
        <w:rPr>
          <w:lang w:val="en-US"/>
        </w:rPr>
        <w:t>Obrachunkowy, 2012.</w:t>
      </w:r>
    </w:p>
  </w:footnote>
  <w:footnote w:id="26">
    <w:p w:rsidR="00832320" w:rsidRDefault="00832320" w:rsidP="00424449">
      <w:pPr>
        <w:pStyle w:val="Tekstprzypisudolnego"/>
      </w:pPr>
      <w:r>
        <w:rPr>
          <w:rStyle w:val="Odwoanieprzypisudolnego"/>
        </w:rPr>
        <w:footnoteRef/>
      </w:r>
      <w:r>
        <w:rPr>
          <w:i/>
        </w:rPr>
        <w:t xml:space="preserve">Diagnoza sytuacji społeczno-gospodarczej województwa podkarpackiego. Aktualizacja Strategii Rozwoju Województwa Podkarpackiego, </w:t>
      </w:r>
      <w:r>
        <w:t>Regionalne Obserwatorium Terytorialne, Rzeszów 2013 r.</w:t>
      </w:r>
    </w:p>
  </w:footnote>
  <w:footnote w:id="27">
    <w:p w:rsidR="00832320" w:rsidRDefault="00832320" w:rsidP="00424449">
      <w:pPr>
        <w:pStyle w:val="Tekstprzypisudolnego"/>
      </w:pPr>
      <w:r>
        <w:rPr>
          <w:rStyle w:val="Odwoanieprzypisudolnego"/>
        </w:rPr>
        <w:footnoteRef/>
      </w:r>
      <w:r>
        <w:t xml:space="preserve"> Wśród najważniejszych dokumentów należy wymienić Dyrektywę Parlamentu Europejskiego i Rady 2008/98/WE z 19 listopada 2008 r. w sprawie odpadów oraz uchylająca niektóre dyrektywy oraz Dyrektywa Rady 1999/31/WE z dnia 26 kwietnia 1999 r. w sprawie składowania odpadów.</w:t>
      </w:r>
    </w:p>
  </w:footnote>
  <w:footnote w:id="28">
    <w:p w:rsidR="00832320" w:rsidRDefault="00832320" w:rsidP="00424449">
      <w:pPr>
        <w:pStyle w:val="Tekstprzypisudolnego"/>
      </w:pPr>
      <w:r>
        <w:rPr>
          <w:rStyle w:val="Odwoanieprzypisudolnego"/>
        </w:rPr>
        <w:footnoteRef/>
      </w:r>
      <w:r>
        <w:t xml:space="preserve"> Bank Danych Lokalnych, GUS</w:t>
      </w:r>
    </w:p>
  </w:footnote>
  <w:footnote w:id="29">
    <w:p w:rsidR="00832320" w:rsidRDefault="00832320" w:rsidP="00424449">
      <w:pPr>
        <w:pStyle w:val="Tekstprzypisudolnego"/>
      </w:pPr>
      <w:r>
        <w:rPr>
          <w:rStyle w:val="Odwoanieprzypisudolnego"/>
        </w:rPr>
        <w:footnoteRef/>
      </w:r>
      <w:r>
        <w:t xml:space="preserve"> Bank Danych Lokalnych, GUS, stan na 2012 r.</w:t>
      </w:r>
    </w:p>
  </w:footnote>
  <w:footnote w:id="30">
    <w:p w:rsidR="00832320" w:rsidRDefault="00832320" w:rsidP="00424449">
      <w:pPr>
        <w:pStyle w:val="Tekstprzypisudolnego"/>
      </w:pPr>
      <w:r>
        <w:rPr>
          <w:rStyle w:val="Odwoanieprzypisudolnego"/>
        </w:rPr>
        <w:footnoteRef/>
      </w:r>
      <w:r>
        <w:t xml:space="preserve"> Zgodnie z danymi BDL GUS za 2012 r.94,4% ludności obszarów miejskich korzysta z oczyszczalni ścieków, podczas gdy na wsiach wskaźnik ten wynosi 50,4%. </w:t>
      </w:r>
    </w:p>
  </w:footnote>
  <w:footnote w:id="31">
    <w:p w:rsidR="00832320" w:rsidRDefault="00832320" w:rsidP="00424449">
      <w:pPr>
        <w:pStyle w:val="Tekstprzypisudolnego"/>
      </w:pPr>
      <w:r>
        <w:rPr>
          <w:rStyle w:val="Odwoanieprzypisudolnego"/>
        </w:rPr>
        <w:footnoteRef/>
      </w:r>
      <w:r>
        <w:rPr>
          <w:i/>
        </w:rPr>
        <w:t>Diagnoza sytuacji społeczno-gospodarczej województwa podkarpackiego…</w:t>
      </w:r>
    </w:p>
  </w:footnote>
  <w:footnote w:id="32">
    <w:p w:rsidR="00832320" w:rsidRDefault="00832320" w:rsidP="00424449">
      <w:pPr>
        <w:pStyle w:val="Tekstprzypisudolnego"/>
      </w:pPr>
      <w:r>
        <w:rPr>
          <w:rStyle w:val="Odwoanieprzypisudolnego"/>
        </w:rPr>
        <w:footnoteRef/>
      </w:r>
      <w:r>
        <w:t xml:space="preserve"> W dokumencie używa się określenia </w:t>
      </w:r>
      <w:r>
        <w:rPr>
          <w:i/>
        </w:rPr>
        <w:t xml:space="preserve">przywrócenie bioróżnorodności, </w:t>
      </w:r>
      <w:r>
        <w:t xml:space="preserve">które sugerujemy zmienić na </w:t>
      </w:r>
      <w:r>
        <w:rPr>
          <w:i/>
        </w:rPr>
        <w:t>ochronę</w:t>
      </w:r>
      <w:r>
        <w:t xml:space="preserve"> lub </w:t>
      </w:r>
      <w:r>
        <w:rPr>
          <w:i/>
        </w:rPr>
        <w:t>zachowanie</w:t>
      </w:r>
      <w:r>
        <w:t xml:space="preserve"> ponieważ przywrócenie już utraconej bioróżnorodności jest raczej niemożliwe.</w:t>
      </w:r>
    </w:p>
  </w:footnote>
  <w:footnote w:id="33">
    <w:p w:rsidR="00832320" w:rsidRDefault="00832320" w:rsidP="00424449">
      <w:pPr>
        <w:pStyle w:val="Tekstprzypisudolnego"/>
      </w:pPr>
      <w:r>
        <w:rPr>
          <w:rStyle w:val="Odwoanieprzypisudolnego"/>
        </w:rPr>
        <w:footnoteRef/>
      </w:r>
      <w:r>
        <w:t xml:space="preserve"> Dyrektywa Rady 92/43/EWG z dnia 21 maja 1992 r. w sprawie ochrony siedlisk przyrodniczych oraz dzikiej fauny i flory oraz Dyrektywa Parlamentu Europejskiego i Rady 2009/147/WE  z dnia 30 listopada 2009 r. w sprawie ochrony dzikiego ptactwa.</w:t>
      </w:r>
    </w:p>
  </w:footnote>
  <w:footnote w:id="34">
    <w:p w:rsidR="00832320" w:rsidRDefault="00832320" w:rsidP="00424449">
      <w:pPr>
        <w:pStyle w:val="Tekstprzypisudolnego"/>
        <w:rPr>
          <w:lang w:val="en-US"/>
        </w:rPr>
      </w:pPr>
      <w:r>
        <w:rPr>
          <w:rStyle w:val="Odwoanieprzypisudolnego"/>
        </w:rPr>
        <w:footnoteRef/>
      </w:r>
      <w:r>
        <w:rPr>
          <w:lang w:val="en-US"/>
        </w:rPr>
        <w:t xml:space="preserve"> </w:t>
      </w:r>
      <w:r>
        <w:rPr>
          <w:i/>
          <w:lang w:val="en-US"/>
        </w:rPr>
        <w:t>Air quality in Europe — 2013 report,</w:t>
      </w:r>
      <w:r>
        <w:rPr>
          <w:lang w:val="en-US"/>
        </w:rPr>
        <w:t xml:space="preserve"> EEA Report No9/2013</w:t>
      </w:r>
    </w:p>
  </w:footnote>
  <w:footnote w:id="35">
    <w:p w:rsidR="00832320" w:rsidRDefault="00832320" w:rsidP="00424449">
      <w:pPr>
        <w:pStyle w:val="Tekstprzypisudolnego"/>
        <w:rPr>
          <w:b/>
        </w:rPr>
      </w:pPr>
      <w:r>
        <w:rPr>
          <w:rStyle w:val="Odwoanieprzypisudolnego"/>
        </w:rPr>
        <w:footnoteRef/>
      </w:r>
      <w:r>
        <w:t xml:space="preserve"> Wytyczne Głównego Inspektoratu Ochrony Środowiska wymieniają 11 substancji, których poziom musi być monitorowany, ze względu na ich negatywny wpływ na zdrowie ludzkie. Są to: dwutlenek siarki (SO2), dwutlenek azotu (NO2), tlenek węgla (CO), benzen (C6H6), ozon (O3), pył drobny PM10 (o średnicy do 10µm), pył drobny PM2,5 (o średnicy do 2,5 µm), metale ciężkie: ołów (Pb), arsen (As), nikiel (Ni), kadm (Cd) oznaczane w pyle PM10 oraz benzo(a)piren oznaczany w pyle PM10. Ze względu na ochronę roślin ocenie podlegają 3 substancje: dwutlenek siarki (SO2), tlenki azotu (NOx) i ozon (O3).</w:t>
      </w:r>
    </w:p>
  </w:footnote>
  <w:footnote w:id="36">
    <w:p w:rsidR="00832320" w:rsidRDefault="00832320" w:rsidP="00424449">
      <w:pPr>
        <w:pStyle w:val="Tekstprzypisudolnego"/>
      </w:pPr>
      <w:r>
        <w:rPr>
          <w:rStyle w:val="Odwoanieprzypisudolnego"/>
        </w:rPr>
        <w:footnoteRef/>
      </w:r>
      <w:r>
        <w:t xml:space="preserve"> </w:t>
      </w:r>
      <w:r>
        <w:rPr>
          <w:i/>
        </w:rPr>
        <w:t>Krajowa Polityka Miejska, projekt</w:t>
      </w:r>
      <w:r>
        <w:t>, wersja I, Ministerstwo Infrastruktury i Rozwoju, marzec 2014 r.</w:t>
      </w:r>
    </w:p>
  </w:footnote>
  <w:footnote w:id="37">
    <w:p w:rsidR="00832320" w:rsidRDefault="00832320" w:rsidP="00424449">
      <w:pPr>
        <w:pStyle w:val="Tekstprzypisudolnego"/>
      </w:pPr>
      <w:r>
        <w:rPr>
          <w:rStyle w:val="Odwoanieprzypisudolnego"/>
        </w:rPr>
        <w:footnoteRef/>
      </w:r>
      <w:r>
        <w:rPr>
          <w:i/>
        </w:rPr>
        <w:t xml:space="preserve">Strategiczny plan adaptacji dla sektorów i obszarów wrażliwych na zmiany klimatu do roku 2020 z perspektywą do roku 2030 r. </w:t>
      </w:r>
    </w:p>
  </w:footnote>
  <w:footnote w:id="38">
    <w:p w:rsidR="00832320" w:rsidRDefault="00832320" w:rsidP="00424449">
      <w:pPr>
        <w:pStyle w:val="Tekstprzypisudolnego"/>
      </w:pPr>
      <w:r>
        <w:rPr>
          <w:rStyle w:val="Odwoanieprzypisudolnego"/>
        </w:rPr>
        <w:footnoteRef/>
      </w:r>
      <w:r>
        <w:t xml:space="preserve"> Sadowski M., Siwiec E., </w:t>
      </w:r>
      <w:r>
        <w:rPr>
          <w:i/>
        </w:rPr>
        <w:t>Analiza strat i kosztów usuwania szkód spowodowanych ekstremalnymi zjawiskami pogodowymi i klimatycznymi w latach 2002-2011</w:t>
      </w:r>
      <w:r>
        <w:t>. IOŚ, 2012</w:t>
      </w:r>
    </w:p>
  </w:footnote>
  <w:footnote w:id="39">
    <w:p w:rsidR="00832320" w:rsidRDefault="00832320" w:rsidP="00424449">
      <w:pPr>
        <w:pStyle w:val="Tekstprzypisudolnego"/>
      </w:pPr>
      <w:r>
        <w:rPr>
          <w:rStyle w:val="Odwoanieprzypisudolnego"/>
        </w:rPr>
        <w:footnoteRef/>
      </w:r>
      <w:r>
        <w:rPr>
          <w:i/>
        </w:rPr>
        <w:t>Znaczenie interwencji RPO Województwa Podkarpackiego na lata 2007-2013 w obszarze infrastruktury ochrony środowiska,</w:t>
      </w:r>
      <w:r>
        <w:t xml:space="preserve"> FUNDEKO Korbel, Krok-Baściuk Spółka Jawna, listopad 2011 r.</w:t>
      </w:r>
    </w:p>
  </w:footnote>
  <w:footnote w:id="40">
    <w:p w:rsidR="00832320" w:rsidRDefault="00832320" w:rsidP="00424449">
      <w:pPr>
        <w:pStyle w:val="Tekstprzypisudolnego"/>
        <w:rPr>
          <w:lang w:val="en-US"/>
        </w:rPr>
      </w:pPr>
      <w:r>
        <w:rPr>
          <w:rStyle w:val="Odwoanieprzypisudolnego"/>
        </w:rPr>
        <w:footnoteRef/>
      </w:r>
      <w:r>
        <w:rPr>
          <w:lang w:val="en-US"/>
        </w:rPr>
        <w:t xml:space="preserve"> Op. cit.</w:t>
      </w:r>
    </w:p>
  </w:footnote>
  <w:footnote w:id="41">
    <w:p w:rsidR="00832320" w:rsidRDefault="00832320" w:rsidP="00424449">
      <w:pPr>
        <w:pStyle w:val="Tekstprzypisudolnego"/>
        <w:rPr>
          <w:lang w:val="en-US"/>
        </w:rPr>
      </w:pPr>
      <w:r>
        <w:rPr>
          <w:rStyle w:val="Odwoanieprzypisudolnego"/>
        </w:rPr>
        <w:footnoteRef/>
      </w:r>
      <w:r>
        <w:rPr>
          <w:lang w:val="en-US"/>
        </w:rPr>
        <w:t xml:space="preserve"> Op. cit. </w:t>
      </w:r>
    </w:p>
  </w:footnote>
  <w:footnote w:id="42">
    <w:p w:rsidR="00832320" w:rsidRDefault="00832320" w:rsidP="00424449">
      <w:pPr>
        <w:pStyle w:val="Tekstprzypisudolnego"/>
        <w:rPr>
          <w:lang w:val="en-US"/>
        </w:rPr>
      </w:pPr>
      <w:r>
        <w:rPr>
          <w:rStyle w:val="Odwoanieprzypisudolnego"/>
        </w:rPr>
        <w:footnoteRef/>
      </w:r>
      <w:r>
        <w:rPr>
          <w:lang w:val="en-US"/>
        </w:rPr>
        <w:t xml:space="preserve"> Op. cit.</w:t>
      </w:r>
    </w:p>
  </w:footnote>
  <w:footnote w:id="43">
    <w:p w:rsidR="00832320" w:rsidRDefault="00832320" w:rsidP="00424449">
      <w:pPr>
        <w:pStyle w:val="Tekstprzypisudolnego"/>
      </w:pPr>
      <w:r>
        <w:rPr>
          <w:rStyle w:val="Odwoanieprzypisudolnego"/>
        </w:rPr>
        <w:footnoteRef/>
      </w:r>
      <w:r>
        <w:t xml:space="preserve"> Wyniki ogólnopolskich badań dotyczących świadomości ekologicznej(m.in. </w:t>
      </w:r>
      <w:r>
        <w:rPr>
          <w:i/>
        </w:rPr>
        <w:t xml:space="preserve">Badanie świadomości i zachowań ekologicznych mieszkańców Polski, </w:t>
      </w:r>
      <w:r>
        <w:t>raport TNS Polska dla Ministerstwa Środowiska, Warszawa 2012) jednoznacznie wskazują na potrzebę podejmowania działań edukacyjnych.</w:t>
      </w:r>
    </w:p>
  </w:footnote>
  <w:footnote w:id="44">
    <w:p w:rsidR="00832320" w:rsidRDefault="00832320" w:rsidP="00424449">
      <w:pPr>
        <w:pStyle w:val="Tekstprzypisudolnego"/>
      </w:pPr>
      <w:r>
        <w:rPr>
          <w:rStyle w:val="Odwoanieprzypisudolnego"/>
        </w:rPr>
        <w:footnoteRef/>
      </w:r>
      <w:r>
        <w:t xml:space="preserve"> A. Wermeniuk, K. Czupryniak, </w:t>
      </w:r>
      <w:r>
        <w:rPr>
          <w:i/>
        </w:rPr>
        <w:t>Ocena modelu finansowania ochrony przyrody w ramach PO IiŚ oraz identyfikacja najlepszych praktyk w tym zakresie</w:t>
      </w:r>
      <w:r>
        <w:t>, Warszawa, grudzień 2010 r.</w:t>
      </w:r>
    </w:p>
  </w:footnote>
  <w:footnote w:id="45">
    <w:p w:rsidR="00832320" w:rsidRDefault="00832320" w:rsidP="00424449">
      <w:pPr>
        <w:pStyle w:val="Tekstprzypisudolnego"/>
        <w:rPr>
          <w:i/>
        </w:rPr>
      </w:pPr>
      <w:r>
        <w:rPr>
          <w:rStyle w:val="Odwoanieprzypisudolnego"/>
        </w:rPr>
        <w:footnoteRef/>
      </w:r>
      <w:r>
        <w:t xml:space="preserve"> Inspekcja ochrony środowiska, </w:t>
      </w:r>
      <w:r>
        <w:rPr>
          <w:i/>
        </w:rPr>
        <w:t>Ocena jakości powietrza w strefach w Polsce za rok 2011,</w:t>
      </w:r>
      <w:r>
        <w:t>Warszawa 2012 r.</w:t>
      </w:r>
    </w:p>
  </w:footnote>
  <w:footnote w:id="46">
    <w:p w:rsidR="00832320" w:rsidRDefault="00832320" w:rsidP="00424449">
      <w:pPr>
        <w:pStyle w:val="Tekstprzypisudolnego"/>
      </w:pPr>
      <w:r>
        <w:rPr>
          <w:rStyle w:val="Odwoanieprzypisudolnego"/>
        </w:rPr>
        <w:footnoteRef/>
      </w:r>
      <w:r>
        <w:rPr>
          <w:i/>
        </w:rPr>
        <w:t>Społeczne, gospodarcze i środowiskowe efekty projektów realizowanych w ramach IV osi priorytetowej Programu Operacyjnego Infrastruktura i Środowisko</w:t>
      </w:r>
      <w:r>
        <w:t>, Fundeko, Warszawa 2010.</w:t>
      </w:r>
    </w:p>
  </w:footnote>
  <w:footnote w:id="47">
    <w:p w:rsidR="00832320" w:rsidRDefault="00832320" w:rsidP="00424449">
      <w:pPr>
        <w:pStyle w:val="Tekstprzypisudolnego"/>
        <w:rPr>
          <w:lang w:val="en-US"/>
        </w:rPr>
      </w:pPr>
      <w:r>
        <w:rPr>
          <w:rStyle w:val="Odwoanieprzypisudolnego"/>
        </w:rPr>
        <w:footnoteRef/>
      </w:r>
      <w:r>
        <w:rPr>
          <w:lang w:val="en-US"/>
        </w:rPr>
        <w:t xml:space="preserve"> Ploegmakers H., Beckers P., </w:t>
      </w:r>
      <w:r>
        <w:rPr>
          <w:i/>
          <w:lang w:val="en-US"/>
        </w:rPr>
        <w:t>Evaluating regeneration policies for rundown industrial sites in the Netherlands</w:t>
      </w:r>
      <w:r>
        <w:rPr>
          <w:lang w:val="en-US"/>
        </w:rPr>
        <w:t>, PBL, 2012.</w:t>
      </w:r>
    </w:p>
  </w:footnote>
  <w:footnote w:id="48">
    <w:p w:rsidR="00832320" w:rsidRDefault="00832320" w:rsidP="00424449">
      <w:pPr>
        <w:pStyle w:val="Tekstprzypisudolnego"/>
      </w:pPr>
      <w:r>
        <w:rPr>
          <w:rStyle w:val="Odwoanieprzypisudolnego"/>
        </w:rPr>
        <w:footnoteRef/>
      </w:r>
      <w:r>
        <w:t xml:space="preserve"> Wdowiarz-Bilska, M. </w:t>
      </w:r>
      <w:r>
        <w:rPr>
          <w:i/>
        </w:rPr>
        <w:t>Strategie niwelowania zagrożeń w obszarach poprzemysłowych, Architektura, czasopismo techniczne</w:t>
      </w:r>
      <w:r>
        <w:t>, zeszyt 17, rok 108, 6-A/2011</w:t>
      </w:r>
    </w:p>
  </w:footnote>
  <w:footnote w:id="49">
    <w:p w:rsidR="00832320" w:rsidRDefault="00832320" w:rsidP="00424449">
      <w:pPr>
        <w:pStyle w:val="Tekstprzypisudolnego"/>
      </w:pPr>
      <w:r>
        <w:rPr>
          <w:rStyle w:val="Odwoanieprzypisudolnego"/>
        </w:rPr>
        <w:footnoteRef/>
      </w:r>
      <w:r>
        <w:rPr>
          <w:i/>
        </w:rPr>
        <w:t>Nasze ubezpieczenie na życie i nasz kapitał naturalny – unijna strategia ochrony różnorodności biologicznej na okres do 2020 r.</w:t>
      </w:r>
    </w:p>
  </w:footnote>
  <w:footnote w:id="50">
    <w:p w:rsidR="00832320" w:rsidRDefault="00832320" w:rsidP="00424449">
      <w:pPr>
        <w:pStyle w:val="Tekstprzypisudolnego"/>
      </w:pPr>
      <w:r>
        <w:rPr>
          <w:rStyle w:val="Odwoanieprzypisudolnego"/>
        </w:rPr>
        <w:footnoteRef/>
      </w:r>
      <w:r>
        <w:rPr>
          <w:i/>
        </w:rPr>
        <w:t xml:space="preserve">Strategia Rozwoju Województwa Podkarpackiego na lata 2007 – 2020. Aktualizacja na lata 2013 – 2020. Projekt, </w:t>
      </w:r>
      <w:r>
        <w:t>Rzeszów, kwiecień 2013</w:t>
      </w:r>
    </w:p>
  </w:footnote>
  <w:footnote w:id="51">
    <w:p w:rsidR="00832320" w:rsidRDefault="00832320" w:rsidP="00424449">
      <w:pPr>
        <w:pStyle w:val="Tekstprzypisudolnego"/>
      </w:pPr>
      <w:r>
        <w:rPr>
          <w:rStyle w:val="Odwoanieprzypisudolnego"/>
        </w:rPr>
        <w:footnoteRef/>
      </w:r>
      <w:r>
        <w:t xml:space="preserve"> </w:t>
      </w:r>
      <w:r w:rsidRPr="00834FFC">
        <w:rPr>
          <w:i/>
          <w:sz w:val="18"/>
        </w:rPr>
        <w:t xml:space="preserve">Orzeczenia komisji lekarskich ZUS wydane w 2012 roku, </w:t>
      </w:r>
      <w:r w:rsidRPr="00834FFC">
        <w:rPr>
          <w:sz w:val="18"/>
        </w:rPr>
        <w:t xml:space="preserve">ZUS, Warszawa </w:t>
      </w:r>
      <w:r>
        <w:t xml:space="preserve">2013 </w:t>
      </w:r>
    </w:p>
  </w:footnote>
  <w:footnote w:id="52">
    <w:p w:rsidR="00832320" w:rsidRDefault="00832320">
      <w:pPr>
        <w:pStyle w:val="Tekstprzypisudolnego"/>
      </w:pPr>
      <w:r>
        <w:rPr>
          <w:rStyle w:val="Odwoanieprzypisudolnego"/>
        </w:rPr>
        <w:footnoteRef/>
      </w:r>
      <w:r>
        <w:t xml:space="preserve"> </w:t>
      </w:r>
      <w:r w:rsidRPr="0085328F">
        <w:rPr>
          <w:sz w:val="18"/>
          <w:szCs w:val="18"/>
        </w:rPr>
        <w:t>Warzywoda-Kruszyńska W. (2011), Miejskie enklawy biedy, [w:] Społeczne i organizacyjne problemy współczesności. Sprawy bliskie sercu Profesor Zdzisławy Janowskiej, red. J.Cewińska, Z.Chmala,</w:t>
      </w:r>
      <w:r>
        <w:rPr>
          <w:sz w:val="18"/>
          <w:szCs w:val="18"/>
        </w:rPr>
        <w:t xml:space="preserve"> Łódź: Wydawnictwo UŁ</w:t>
      </w:r>
    </w:p>
  </w:footnote>
  <w:footnote w:id="53">
    <w:p w:rsidR="00832320" w:rsidRDefault="00832320">
      <w:pPr>
        <w:pStyle w:val="Tekstprzypisudolnego"/>
      </w:pPr>
      <w:r>
        <w:rPr>
          <w:rStyle w:val="Odwoanieprzypisudolnego"/>
        </w:rPr>
        <w:footnoteRef/>
      </w:r>
      <w:r>
        <w:t xml:space="preserve"> </w:t>
      </w:r>
      <w:r w:rsidRPr="0052175C">
        <w:rPr>
          <w:sz w:val="18"/>
          <w:szCs w:val="18"/>
        </w:rPr>
        <w:t>Znaczenie projektów realizowanych w ramach RPO WP dla rozwoju miast województwa podkarpackiego; Centrum Studiów Regionalnych Uniregio, Kraków, 2012</w:t>
      </w:r>
    </w:p>
  </w:footnote>
  <w:footnote w:id="54">
    <w:p w:rsidR="00832320" w:rsidRPr="00560B8E" w:rsidRDefault="00832320" w:rsidP="00424449">
      <w:pPr>
        <w:pStyle w:val="Tekstprzypisudolnego"/>
        <w:rPr>
          <w:lang w:val="en-US"/>
        </w:rPr>
      </w:pPr>
      <w:r>
        <w:rPr>
          <w:rStyle w:val="Odwoanieprzypisudolnego"/>
        </w:rPr>
        <w:footnoteRef/>
      </w:r>
      <w:r w:rsidRPr="00442A38">
        <w:rPr>
          <w:lang w:val="en-US"/>
        </w:rPr>
        <w:t xml:space="preserve"> </w:t>
      </w:r>
      <w:r>
        <w:rPr>
          <w:lang w:val="en-US"/>
        </w:rPr>
        <w:t xml:space="preserve">H. Boulho, </w:t>
      </w:r>
      <w:r>
        <w:rPr>
          <w:i/>
          <w:lang w:val="en-US"/>
        </w:rPr>
        <w:t>et. al</w:t>
      </w:r>
      <w:r w:rsidRPr="006603D3">
        <w:rPr>
          <w:lang w:val="en-US"/>
        </w:rPr>
        <w:t xml:space="preserve">, </w:t>
      </w:r>
      <w:r w:rsidRPr="006603D3">
        <w:rPr>
          <w:i/>
          <w:lang w:val="en-US"/>
        </w:rPr>
        <w:t xml:space="preserve">Improving the Healt-Ccare System in Poland, </w:t>
      </w:r>
      <w:r>
        <w:rPr>
          <w:lang w:val="en-US"/>
        </w:rPr>
        <w:t xml:space="preserve">OECD </w:t>
      </w:r>
      <w:r>
        <w:rPr>
          <w:i/>
          <w:lang w:val="en-US"/>
        </w:rPr>
        <w:t xml:space="preserve">Economics Department Working Papers, No. 957, </w:t>
      </w:r>
      <w:r>
        <w:rPr>
          <w:lang w:val="en-US"/>
        </w:rPr>
        <w:t>OECD Publishing, 2012.</w:t>
      </w:r>
    </w:p>
  </w:footnote>
  <w:footnote w:id="55">
    <w:p w:rsidR="00832320" w:rsidRPr="003269CB" w:rsidRDefault="00832320" w:rsidP="00424449">
      <w:pPr>
        <w:pStyle w:val="Tekstprzypisudolnego"/>
      </w:pPr>
      <w:r>
        <w:rPr>
          <w:rStyle w:val="Odwoanieprzypisudolnego"/>
        </w:rPr>
        <w:footnoteRef/>
      </w:r>
      <w:r>
        <w:t xml:space="preserve"> </w:t>
      </w:r>
      <w:r w:rsidRPr="003269CB">
        <w:rPr>
          <w:i/>
        </w:rPr>
        <w:t>Zdrowie priorytetem politycznym państwa – analiza i rekomendacje</w:t>
      </w:r>
      <w:r>
        <w:rPr>
          <w:i/>
        </w:rPr>
        <w:t xml:space="preserve">, </w:t>
      </w:r>
      <w:r>
        <w:t>PZH, Warszaw 2013</w:t>
      </w:r>
    </w:p>
  </w:footnote>
  <w:footnote w:id="56">
    <w:p w:rsidR="00832320" w:rsidRPr="00E55D71" w:rsidRDefault="00832320">
      <w:pPr>
        <w:pStyle w:val="Tekstprzypisudolnego"/>
        <w:rPr>
          <w:lang w:val="en-US"/>
        </w:rPr>
      </w:pPr>
      <w:r>
        <w:rPr>
          <w:rStyle w:val="Odwoanieprzypisudolnego"/>
        </w:rPr>
        <w:footnoteRef/>
      </w:r>
      <w:r w:rsidRPr="00E55D71">
        <w:rPr>
          <w:lang w:val="en-US"/>
        </w:rPr>
        <w:t xml:space="preserve"> </w:t>
      </w:r>
      <w:r>
        <w:rPr>
          <w:lang w:val="en-US"/>
        </w:rPr>
        <w:t xml:space="preserve">H. Boulho, </w:t>
      </w:r>
      <w:r>
        <w:rPr>
          <w:i/>
          <w:lang w:val="en-US"/>
        </w:rPr>
        <w:t>et. al</w:t>
      </w:r>
      <w:r w:rsidRPr="006603D3">
        <w:rPr>
          <w:lang w:val="en-US"/>
        </w:rPr>
        <w:t xml:space="preserve">, </w:t>
      </w:r>
      <w:r w:rsidRPr="006603D3">
        <w:rPr>
          <w:i/>
          <w:lang w:val="en-US"/>
        </w:rPr>
        <w:t xml:space="preserve">Improving the Healt-Ccare System in Poland, </w:t>
      </w:r>
      <w:r>
        <w:rPr>
          <w:lang w:val="en-US"/>
        </w:rPr>
        <w:t xml:space="preserve">OECD </w:t>
      </w:r>
      <w:r>
        <w:rPr>
          <w:i/>
          <w:lang w:val="en-US"/>
        </w:rPr>
        <w:t xml:space="preserve">Economics Department Working Papers, No. 957, </w:t>
      </w:r>
      <w:r>
        <w:rPr>
          <w:lang w:val="en-US"/>
        </w:rPr>
        <w:t>OECD Publishing, 2012.</w:t>
      </w:r>
    </w:p>
  </w:footnote>
  <w:footnote w:id="57">
    <w:p w:rsidR="00832320" w:rsidRPr="00F718A1" w:rsidRDefault="00832320" w:rsidP="00424449">
      <w:pPr>
        <w:pStyle w:val="Tekstprzypisudolnego"/>
      </w:pPr>
      <w:r>
        <w:rPr>
          <w:rStyle w:val="Odwoanieprzypisudolnego"/>
        </w:rPr>
        <w:footnoteRef/>
      </w:r>
      <w:r>
        <w:t xml:space="preserve"> </w:t>
      </w:r>
      <w:r w:rsidRPr="00F718A1">
        <w:rPr>
          <w:i/>
        </w:rPr>
        <w:t>Znaczenie projektów realizowanych w ramach RPO WP dla rozwoju miast województwa podkarpackiego</w:t>
      </w:r>
      <w:r>
        <w:rPr>
          <w:i/>
        </w:rPr>
        <w:t xml:space="preserve">; </w:t>
      </w:r>
      <w:r>
        <w:t xml:space="preserve">Centrum Studiów Regionalnych Uniregio, Kraków, 2012 </w:t>
      </w:r>
    </w:p>
  </w:footnote>
  <w:footnote w:id="58">
    <w:p w:rsidR="00832320" w:rsidRPr="00E523FF" w:rsidRDefault="00832320" w:rsidP="00424449">
      <w:pPr>
        <w:pStyle w:val="Tekstprzypisudolnego"/>
      </w:pPr>
      <w:r>
        <w:rPr>
          <w:rStyle w:val="Odwoanieprzypisudolnego"/>
        </w:rPr>
        <w:footnoteRef/>
      </w:r>
      <w:r>
        <w:t xml:space="preserve"> KOWEZiU, </w:t>
      </w:r>
      <w:r w:rsidRPr="001F7E49">
        <w:rPr>
          <w:i/>
        </w:rPr>
        <w:t>Stan szkolnictwa zawodowego w Polsce</w:t>
      </w:r>
      <w:r>
        <w:rPr>
          <w:i/>
        </w:rPr>
        <w:t>,</w:t>
      </w:r>
      <w:r>
        <w:t xml:space="preserve"> Warszawa 2013.</w:t>
      </w:r>
    </w:p>
  </w:footnote>
  <w:footnote w:id="59">
    <w:p w:rsidR="00832320" w:rsidRDefault="00832320" w:rsidP="00424449">
      <w:pPr>
        <w:pStyle w:val="Tekstprzypisudolnego"/>
      </w:pPr>
      <w:r>
        <w:rPr>
          <w:rStyle w:val="Odwoanieprzypisudolnego"/>
        </w:rPr>
        <w:footnoteRef/>
      </w:r>
      <w:r>
        <w:rPr>
          <w:i/>
        </w:rPr>
        <w:t xml:space="preserve">Strategia Rozwoju Województwa Podkarpackiego na lata 2007 – 2020. Aktualizacja na lata 2013 – 2020. Projekt, </w:t>
      </w:r>
      <w:r>
        <w:t>Rzeszów, kwiecień 2013</w:t>
      </w:r>
    </w:p>
  </w:footnote>
  <w:footnote w:id="60">
    <w:p w:rsidR="00832320" w:rsidRDefault="00832320" w:rsidP="00424449">
      <w:pPr>
        <w:pStyle w:val="Tekstprzypisudolnego"/>
      </w:pPr>
      <w:r>
        <w:rPr>
          <w:rStyle w:val="Odwoanieprzypisudolnego"/>
        </w:rPr>
        <w:footnoteRef/>
      </w:r>
      <w:r>
        <w:t xml:space="preserve"> Por: </w:t>
      </w:r>
      <w:r w:rsidRPr="001E37EB">
        <w:rPr>
          <w:i/>
        </w:rPr>
        <w:t>Badanie skuteczności i efektywności wsparcia oferowanego w ramach Priorytetu VI PO KL w kontekście barier i potrzeb rozwojowych pracodawców województwa podkarpackiego. Raport końcowy</w:t>
      </w:r>
      <w:r>
        <w:t xml:space="preserve">, WUP w Rzeszowie, grudzień 2013 oraz </w:t>
      </w:r>
      <w:r w:rsidRPr="009E53B3">
        <w:rPr>
          <w:i/>
        </w:rPr>
        <w:t>Skuteczność i efektywność wsparcia udzielanego osobom pozostającym bez zatrudnienia w ramach wybranych operacji Poddziałania 6.1.1 Programu Operacyjnego Kapitał Ludzki Wsparcie osób pozostających bez</w:t>
      </w:r>
      <w:r>
        <w:rPr>
          <w:i/>
        </w:rPr>
        <w:t xml:space="preserve"> </w:t>
      </w:r>
      <w:r w:rsidRPr="009E53B3">
        <w:rPr>
          <w:i/>
        </w:rPr>
        <w:t>Zatrudnieni</w:t>
      </w:r>
      <w:r>
        <w:t>a, Coffey dla UM woj. śląskiego, 2012 r.</w:t>
      </w:r>
    </w:p>
  </w:footnote>
  <w:footnote w:id="61">
    <w:p w:rsidR="00832320" w:rsidRDefault="00832320">
      <w:pPr>
        <w:pStyle w:val="Tekstprzypisudolnego"/>
      </w:pPr>
      <w:r>
        <w:rPr>
          <w:rStyle w:val="Odwoanieprzypisudolnego"/>
        </w:rPr>
        <w:footnoteRef/>
      </w:r>
      <w:r>
        <w:t xml:space="preserve"> </w:t>
      </w:r>
      <w:r w:rsidRPr="001E37EB">
        <w:rPr>
          <w:i/>
        </w:rPr>
        <w:t>Badanie skuteczności i efektywności wsparcia oferowanego w ramach Priorytetu VI PO KL w kontekście barier i potrzeb rozwojowych pracodawców województwa podkarpackiego. Raport końcowy</w:t>
      </w:r>
      <w:r>
        <w:t>, WUP w Rzeszowie, grudzień 2013</w:t>
      </w:r>
    </w:p>
  </w:footnote>
  <w:footnote w:id="62">
    <w:p w:rsidR="00832320" w:rsidRDefault="00832320">
      <w:pPr>
        <w:pStyle w:val="Tekstprzypisudolnego"/>
      </w:pPr>
      <w:r>
        <w:rPr>
          <w:rStyle w:val="Odwoanieprzypisudolnego"/>
        </w:rPr>
        <w:footnoteRef/>
      </w:r>
      <w:r>
        <w:t xml:space="preserve"> Tamże.</w:t>
      </w:r>
    </w:p>
  </w:footnote>
  <w:footnote w:id="63">
    <w:p w:rsidR="00832320" w:rsidRPr="00E13AAC" w:rsidRDefault="00832320" w:rsidP="00424449">
      <w:pPr>
        <w:pStyle w:val="NormalnyWeb"/>
        <w:spacing w:before="0" w:beforeAutospacing="0" w:after="0" w:afterAutospacing="0"/>
        <w:rPr>
          <w:rFonts w:asciiTheme="majorHAnsi" w:hAnsiTheme="majorHAnsi"/>
          <w:sz w:val="20"/>
          <w:szCs w:val="20"/>
        </w:rPr>
      </w:pPr>
      <w:r w:rsidRPr="00E13AAC">
        <w:rPr>
          <w:rStyle w:val="Odwoanieprzypisudolnego"/>
          <w:rFonts w:asciiTheme="majorHAnsi" w:hAnsiTheme="majorHAnsi"/>
          <w:sz w:val="20"/>
          <w:szCs w:val="20"/>
        </w:rPr>
        <w:footnoteRef/>
      </w:r>
      <w:r w:rsidRPr="00E13AAC">
        <w:rPr>
          <w:rFonts w:asciiTheme="majorHAnsi" w:hAnsiTheme="majorHAnsi"/>
          <w:sz w:val="20"/>
          <w:szCs w:val="20"/>
        </w:rPr>
        <w:t xml:space="preserve"> Projekt nowelizacji ustawy został przekazany do Sejmu w listopadzie 2013. </w:t>
      </w:r>
    </w:p>
  </w:footnote>
  <w:footnote w:id="64">
    <w:p w:rsidR="00832320" w:rsidRDefault="00832320">
      <w:pPr>
        <w:pStyle w:val="Tekstprzypisudolnego"/>
      </w:pPr>
      <w:r>
        <w:rPr>
          <w:rStyle w:val="Odwoanieprzypisudolnego"/>
        </w:rPr>
        <w:footnoteRef/>
      </w:r>
      <w:r>
        <w:t xml:space="preserve"> Por: U. Sztandar-Sztanderska,</w:t>
      </w:r>
      <w:r w:rsidRPr="007F47D8">
        <w:rPr>
          <w:i/>
        </w:rPr>
        <w:t xml:space="preserve"> </w:t>
      </w:r>
      <w:r>
        <w:t xml:space="preserve">Ekspertyza: </w:t>
      </w:r>
      <w:r w:rsidRPr="007F47D8">
        <w:rPr>
          <w:i/>
        </w:rPr>
        <w:t>Uwagi o niepożądanych konsekwencjach nowelizacji ustawy o promocji zatrudnienia i instytucjach rynku pracy</w:t>
      </w:r>
      <w:r>
        <w:t xml:space="preserve"> Warszawa 2013, s. 14, oraz Ciężka, B., Puchalska, K., Błędowski, P., Kowalska Żakieta, I. Kapilewicz, E. </w:t>
      </w:r>
      <w:r w:rsidRPr="007F47D8">
        <w:rPr>
          <w:i/>
        </w:rPr>
        <w:t>Raport końcowy z badania ewaluacyjnego. Analiza aktualnej struktury instytucji rynku pracy i instytucji pomocy społecznej w kontekście zakresu ich wzajemnej współpracy, a także głównych obszarów styku</w:t>
      </w:r>
      <w:r>
        <w:t>. Warszawa 2009.</w:t>
      </w:r>
    </w:p>
  </w:footnote>
  <w:footnote w:id="65">
    <w:p w:rsidR="00832320" w:rsidRDefault="00832320" w:rsidP="00424449">
      <w:pPr>
        <w:pStyle w:val="Tekstprzypisudolnego"/>
      </w:pPr>
      <w:r>
        <w:rPr>
          <w:rStyle w:val="Odwoanieprzypisudolnego"/>
        </w:rPr>
        <w:footnoteRef/>
      </w:r>
      <w:r>
        <w:t xml:space="preserve"> R. Szarfenberg (red.) </w:t>
      </w:r>
      <w:r w:rsidRPr="00384F75">
        <w:rPr>
          <w:i/>
        </w:rPr>
        <w:t>Krajowy raport badawczy. Pomoc i integracja społeczna wobec wybranych grup – diagnoza standaryzacji usług i modeli instytucji</w:t>
      </w:r>
      <w:r>
        <w:t>, Warszawa 2011, s. 76</w:t>
      </w:r>
    </w:p>
  </w:footnote>
  <w:footnote w:id="66">
    <w:p w:rsidR="00832320" w:rsidRDefault="00832320" w:rsidP="00424449">
      <w:pPr>
        <w:pStyle w:val="Tekstprzypisudolnego"/>
      </w:pPr>
      <w:r>
        <w:rPr>
          <w:rStyle w:val="Odwoanieprzypisudolnego"/>
        </w:rPr>
        <w:footnoteRef/>
      </w:r>
      <w:r>
        <w:t xml:space="preserve"> </w:t>
      </w:r>
      <w:r w:rsidRPr="00C86FB8">
        <w:rPr>
          <w:i/>
        </w:rPr>
        <w:t>Badanie osiągniętych wartości wskaźników rezultatu komponentu regionalnego PO KL</w:t>
      </w:r>
      <w:r>
        <w:t>. PAG dla MRR, Warszawa, V 2012.</w:t>
      </w:r>
    </w:p>
  </w:footnote>
  <w:footnote w:id="67">
    <w:p w:rsidR="00832320" w:rsidRDefault="00832320">
      <w:pPr>
        <w:pStyle w:val="Tekstprzypisudolnego"/>
      </w:pPr>
      <w:r>
        <w:rPr>
          <w:rStyle w:val="Odwoanieprzypisudolnego"/>
        </w:rPr>
        <w:footnoteRef/>
      </w:r>
      <w:r>
        <w:t xml:space="preserve"> Szczególnie dotyczy to realizowanych standardowo Indywidualnych Planów Działań (IPD). Por: </w:t>
      </w:r>
      <w:r w:rsidRPr="001E37EB">
        <w:rPr>
          <w:i/>
        </w:rPr>
        <w:t>Badanie skuteczności i efektywności wsparcia oferowanego w ramach Priorytetu VI PO KL w kontekście barier i potrzeb rozwojowych pracodawców województwa podkarpackiego</w:t>
      </w:r>
      <w:r>
        <w:rPr>
          <w:i/>
        </w:rPr>
        <w:t>.</w:t>
      </w:r>
    </w:p>
  </w:footnote>
  <w:footnote w:id="68">
    <w:p w:rsidR="00832320" w:rsidRDefault="00832320">
      <w:pPr>
        <w:pStyle w:val="Tekstprzypisudolnego"/>
      </w:pPr>
      <w:r>
        <w:rPr>
          <w:rStyle w:val="Odwoanieprzypisudolnego"/>
        </w:rPr>
        <w:footnoteRef/>
      </w:r>
      <w:r>
        <w:t xml:space="preserve"> </w:t>
      </w:r>
      <w:r w:rsidRPr="00A44236">
        <w:rPr>
          <w:rFonts w:ascii="TTE248C4B0t00" w:hAnsi="TTE248C4B0t00" w:cs="TTE248C4B0t00"/>
          <w:i/>
        </w:rPr>
        <w:t>Badanie osiągniętej wartości wskaźników komponentu regionalnego PO KL</w:t>
      </w:r>
      <w:r>
        <w:rPr>
          <w:rFonts w:ascii="TTE248C4B0t00" w:hAnsi="TTE248C4B0t00" w:cs="TTE248C4B0t00"/>
        </w:rPr>
        <w:t>…</w:t>
      </w:r>
    </w:p>
  </w:footnote>
  <w:footnote w:id="69">
    <w:p w:rsidR="00832320" w:rsidRPr="007145CA" w:rsidRDefault="00832320" w:rsidP="00424449">
      <w:pPr>
        <w:pStyle w:val="Tekstprzypisudolnego"/>
        <w:rPr>
          <w:i/>
        </w:rPr>
      </w:pPr>
      <w:r>
        <w:rPr>
          <w:rStyle w:val="Odwoanieprzypisudolnego"/>
        </w:rPr>
        <w:footnoteRef/>
      </w:r>
      <w:r>
        <w:t xml:space="preserve"> </w:t>
      </w:r>
      <w:r w:rsidRPr="006225FE">
        <w:rPr>
          <w:i/>
        </w:rPr>
        <w:t>Badanie skuteczności i efektywności wsparcia oferowanego w ramach Priorytetu VI PO KL w kontekście barier i potrzeb rozwojowych pracodawców województwa podkarpackiego</w:t>
      </w:r>
      <w:r>
        <w:rPr>
          <w:i/>
        </w:rPr>
        <w:t xml:space="preserve">… </w:t>
      </w:r>
      <w:r>
        <w:t xml:space="preserve">oraz </w:t>
      </w:r>
      <w:r w:rsidRPr="007145CA">
        <w:rPr>
          <w:i/>
        </w:rPr>
        <w:t>Badanie skuteczności wsparcia</w:t>
      </w:r>
    </w:p>
    <w:p w:rsidR="00832320" w:rsidRPr="007145CA" w:rsidRDefault="00832320" w:rsidP="00424449">
      <w:pPr>
        <w:pStyle w:val="Tekstprzypisudolnego"/>
        <w:rPr>
          <w:i/>
        </w:rPr>
      </w:pPr>
      <w:r w:rsidRPr="007145CA">
        <w:rPr>
          <w:i/>
        </w:rPr>
        <w:t>realizowanego w ramach komponentu</w:t>
      </w:r>
      <w:r>
        <w:rPr>
          <w:i/>
        </w:rPr>
        <w:t xml:space="preserve"> </w:t>
      </w:r>
      <w:r w:rsidRPr="007145CA">
        <w:rPr>
          <w:i/>
        </w:rPr>
        <w:t>regionalnego PO KL 2007-2013</w:t>
      </w:r>
      <w:r>
        <w:rPr>
          <w:i/>
        </w:rPr>
        <w:t>.</w:t>
      </w:r>
    </w:p>
  </w:footnote>
  <w:footnote w:id="70">
    <w:p w:rsidR="00832320" w:rsidRDefault="00832320">
      <w:pPr>
        <w:pStyle w:val="Tekstprzypisudolnego"/>
      </w:pPr>
      <w:r>
        <w:rPr>
          <w:rStyle w:val="Odwoanieprzypisudolnego"/>
        </w:rPr>
        <w:footnoteRef/>
      </w:r>
      <w:r>
        <w:t xml:space="preserve"> </w:t>
      </w:r>
      <w:r w:rsidRPr="00B47A26">
        <w:rPr>
          <w:i/>
        </w:rPr>
        <w:t>Aktywność ekonomiczna ludności, III kw. 2013 r.</w:t>
      </w:r>
      <w:r>
        <w:t>, GUS, Warszawa 2014</w:t>
      </w:r>
    </w:p>
  </w:footnote>
  <w:footnote w:id="71">
    <w:p w:rsidR="00832320" w:rsidRDefault="00832320">
      <w:pPr>
        <w:pStyle w:val="Tekstprzypisudolnego"/>
      </w:pPr>
      <w:r>
        <w:rPr>
          <w:rStyle w:val="Odwoanieprzypisudolnego"/>
        </w:rPr>
        <w:footnoteRef/>
      </w:r>
      <w:r>
        <w:t xml:space="preserve"> </w:t>
      </w:r>
      <w:r w:rsidRPr="00B47A26">
        <w:rPr>
          <w:i/>
        </w:rPr>
        <w:t>Przemiany demograficzne i starzenie się społeczeństwa: konsekwencje dla lokalnych rynków pracy w Polsce</w:t>
      </w:r>
      <w:r w:rsidRPr="00F35539">
        <w:t>, OECD, MRR, Warszawa 2012</w:t>
      </w:r>
    </w:p>
  </w:footnote>
  <w:footnote w:id="72">
    <w:p w:rsidR="00832320" w:rsidRPr="00C74FAF" w:rsidRDefault="00832320" w:rsidP="00424449">
      <w:pPr>
        <w:pStyle w:val="NormalnyWeb"/>
        <w:spacing w:before="0" w:beforeAutospacing="0" w:after="0" w:afterAutospacing="0"/>
        <w:rPr>
          <w:rFonts w:asciiTheme="minorHAnsi" w:hAnsiTheme="minorHAnsi"/>
          <w:sz w:val="20"/>
          <w:szCs w:val="20"/>
        </w:rPr>
      </w:pPr>
      <w:r w:rsidRPr="00C74FAF">
        <w:rPr>
          <w:rStyle w:val="Odwoanieprzypisudolnego"/>
          <w:rFonts w:asciiTheme="minorHAnsi" w:hAnsiTheme="minorHAnsi"/>
          <w:sz w:val="20"/>
          <w:szCs w:val="20"/>
        </w:rPr>
        <w:footnoteRef/>
      </w:r>
      <w:r w:rsidRPr="00C74FAF">
        <w:rPr>
          <w:rFonts w:asciiTheme="minorHAnsi" w:hAnsiTheme="minorHAnsi"/>
          <w:sz w:val="20"/>
          <w:szCs w:val="20"/>
        </w:rPr>
        <w:t xml:space="preserve"> Na podstawie: </w:t>
      </w:r>
      <w:r>
        <w:rPr>
          <w:rFonts w:asciiTheme="minorHAnsi" w:hAnsiTheme="minorHAnsi"/>
          <w:sz w:val="20"/>
          <w:szCs w:val="20"/>
        </w:rPr>
        <w:t xml:space="preserve">M. </w:t>
      </w:r>
      <w:r w:rsidRPr="00C74FAF">
        <w:rPr>
          <w:rFonts w:asciiTheme="minorHAnsi" w:hAnsiTheme="minorHAnsi"/>
          <w:sz w:val="20"/>
          <w:szCs w:val="20"/>
        </w:rPr>
        <w:t xml:space="preserve">Polakowski, </w:t>
      </w:r>
      <w:r>
        <w:rPr>
          <w:rFonts w:asciiTheme="minorHAnsi" w:hAnsiTheme="minorHAnsi"/>
          <w:sz w:val="20"/>
          <w:szCs w:val="20"/>
        </w:rPr>
        <w:t xml:space="preserve">D. </w:t>
      </w:r>
      <w:r w:rsidRPr="00C74FAF">
        <w:rPr>
          <w:rFonts w:asciiTheme="minorHAnsi" w:hAnsiTheme="minorHAnsi"/>
          <w:sz w:val="20"/>
          <w:szCs w:val="20"/>
        </w:rPr>
        <w:t xml:space="preserve">Szelwa, </w:t>
      </w:r>
      <w:r w:rsidRPr="00C74FAF">
        <w:rPr>
          <w:rFonts w:asciiTheme="minorHAnsi" w:hAnsiTheme="minorHAnsi"/>
          <w:i/>
          <w:iCs/>
          <w:sz w:val="20"/>
          <w:szCs w:val="20"/>
        </w:rPr>
        <w:t>Bezrobocie w Polsce: polityka państwa a indywidualne strategie</w:t>
      </w:r>
      <w:r w:rsidRPr="00C74FAF">
        <w:rPr>
          <w:rFonts w:asciiTheme="minorHAnsi" w:hAnsiTheme="minorHAnsi"/>
          <w:sz w:val="20"/>
          <w:szCs w:val="20"/>
        </w:rPr>
        <w:t xml:space="preserve">, Friedrich Ebert Stiftung; </w:t>
      </w:r>
      <w:r w:rsidRPr="00CD48C4">
        <w:rPr>
          <w:rFonts w:asciiTheme="minorHAnsi" w:hAnsiTheme="minorHAnsi"/>
          <w:i/>
          <w:sz w:val="20"/>
          <w:szCs w:val="20"/>
        </w:rPr>
        <w:t>Ubóstwo a praca</w:t>
      </w:r>
      <w:r w:rsidRPr="00C74FAF">
        <w:rPr>
          <w:rFonts w:asciiTheme="minorHAnsi" w:hAnsiTheme="minorHAnsi"/>
          <w:sz w:val="20"/>
          <w:szCs w:val="20"/>
        </w:rPr>
        <w:t>,</w:t>
      </w:r>
      <w:r>
        <w:rPr>
          <w:rFonts w:asciiTheme="minorHAnsi" w:hAnsiTheme="minorHAnsi"/>
          <w:sz w:val="20"/>
          <w:szCs w:val="20"/>
        </w:rPr>
        <w:t xml:space="preserve"> </w:t>
      </w:r>
      <w:r w:rsidRPr="00C74FAF">
        <w:rPr>
          <w:rFonts w:asciiTheme="minorHAnsi" w:hAnsiTheme="minorHAnsi"/>
          <w:sz w:val="20"/>
          <w:szCs w:val="20"/>
        </w:rPr>
        <w:t>,</w:t>
      </w:r>
      <w:r>
        <w:rPr>
          <w:rFonts w:asciiTheme="minorHAnsi" w:hAnsiTheme="minorHAnsi"/>
          <w:sz w:val="20"/>
          <w:szCs w:val="20"/>
        </w:rPr>
        <w:t xml:space="preserve"> red. </w:t>
      </w:r>
      <w:r w:rsidRPr="00C74FAF">
        <w:rPr>
          <w:rFonts w:asciiTheme="minorHAnsi" w:hAnsiTheme="minorHAnsi"/>
          <w:sz w:val="18"/>
          <w:szCs w:val="18"/>
        </w:rPr>
        <w:t>M. Bukowski, I. Magda</w:t>
      </w:r>
      <w:r>
        <w:rPr>
          <w:rFonts w:asciiTheme="minorHAnsi" w:hAnsiTheme="minorHAnsi"/>
          <w:sz w:val="18"/>
          <w:szCs w:val="18"/>
        </w:rPr>
        <w:t xml:space="preserve">, </w:t>
      </w:r>
      <w:r w:rsidRPr="00C74FAF">
        <w:rPr>
          <w:rFonts w:asciiTheme="minorHAnsi" w:hAnsiTheme="minorHAnsi"/>
          <w:sz w:val="20"/>
          <w:szCs w:val="20"/>
        </w:rPr>
        <w:t xml:space="preserve">MPiPS, 2013; </w:t>
      </w:r>
      <w:r w:rsidRPr="00C74FAF">
        <w:rPr>
          <w:rFonts w:asciiTheme="minorHAnsi" w:hAnsiTheme="minorHAnsi"/>
          <w:i/>
          <w:iCs/>
          <w:sz w:val="20"/>
          <w:szCs w:val="20"/>
        </w:rPr>
        <w:t xml:space="preserve">Budżety gospodarstw domowych w 2012 </w:t>
      </w:r>
      <w:r w:rsidRPr="00C74FAF">
        <w:rPr>
          <w:rFonts w:asciiTheme="minorHAnsi" w:hAnsiTheme="minorHAnsi"/>
          <w:sz w:val="20"/>
          <w:szCs w:val="20"/>
        </w:rPr>
        <w:t xml:space="preserve">r., Główny Urząd Statystyczny, Warszawa 2013; J. Szut, </w:t>
      </w:r>
      <w:r w:rsidRPr="00C74FAF">
        <w:rPr>
          <w:rFonts w:asciiTheme="minorHAnsi" w:hAnsiTheme="minorHAnsi"/>
          <w:i/>
          <w:iCs/>
          <w:sz w:val="20"/>
          <w:szCs w:val="20"/>
        </w:rPr>
        <w:t>Kim są pracownicy o niskich kwalifikacjach?</w:t>
      </w:r>
      <w:r w:rsidRPr="00C74FAF">
        <w:rPr>
          <w:rFonts w:asciiTheme="minorHAnsi" w:hAnsiTheme="minorHAnsi"/>
          <w:sz w:val="20"/>
          <w:szCs w:val="20"/>
        </w:rPr>
        <w:t xml:space="preserve"> Prezentacja wyników badania zrealizowanego przez Pentor RI na zlecenie PARP.</w:t>
      </w:r>
    </w:p>
  </w:footnote>
  <w:footnote w:id="73">
    <w:p w:rsidR="00832320" w:rsidRPr="00C44801" w:rsidRDefault="00832320" w:rsidP="00424449">
      <w:pPr>
        <w:pStyle w:val="NormalnyWeb"/>
        <w:spacing w:before="0" w:beforeAutospacing="0" w:after="0" w:afterAutospacing="0"/>
        <w:rPr>
          <w:sz w:val="18"/>
          <w:szCs w:val="18"/>
        </w:rPr>
      </w:pPr>
      <w:r w:rsidRPr="00C74FAF">
        <w:rPr>
          <w:rStyle w:val="Odwoanieprzypisudolnego"/>
          <w:rFonts w:asciiTheme="minorHAnsi" w:hAnsiTheme="minorHAnsi"/>
          <w:sz w:val="20"/>
          <w:szCs w:val="20"/>
        </w:rPr>
        <w:footnoteRef/>
      </w:r>
      <w:r w:rsidRPr="00C74FAF">
        <w:rPr>
          <w:rFonts w:asciiTheme="minorHAnsi" w:hAnsiTheme="minorHAnsi"/>
          <w:sz w:val="20"/>
          <w:szCs w:val="20"/>
        </w:rPr>
        <w:t xml:space="preserve"> </w:t>
      </w:r>
      <w:r w:rsidRPr="00CD48C4">
        <w:rPr>
          <w:rFonts w:asciiTheme="minorHAnsi" w:hAnsiTheme="minorHAnsi"/>
          <w:i/>
          <w:sz w:val="20"/>
          <w:szCs w:val="20"/>
        </w:rPr>
        <w:t>Ubóstwo a praca</w:t>
      </w:r>
      <w:r w:rsidRPr="00CD48C4">
        <w:rPr>
          <w:rFonts w:asciiTheme="minorHAnsi" w:hAnsiTheme="minorHAnsi"/>
          <w:sz w:val="20"/>
          <w:szCs w:val="20"/>
        </w:rPr>
        <w:t xml:space="preserve">, </w:t>
      </w:r>
      <w:r>
        <w:rPr>
          <w:rFonts w:asciiTheme="minorHAnsi" w:hAnsiTheme="minorHAnsi"/>
          <w:sz w:val="20"/>
          <w:szCs w:val="20"/>
        </w:rPr>
        <w:t xml:space="preserve">red. </w:t>
      </w:r>
      <w:r w:rsidRPr="00C74FAF">
        <w:rPr>
          <w:rFonts w:asciiTheme="minorHAnsi" w:hAnsiTheme="minorHAnsi"/>
          <w:sz w:val="18"/>
          <w:szCs w:val="18"/>
        </w:rPr>
        <w:t>M. Bukowski, I. Magda</w:t>
      </w:r>
      <w:r>
        <w:rPr>
          <w:rFonts w:asciiTheme="minorHAnsi" w:hAnsiTheme="minorHAnsi"/>
          <w:sz w:val="18"/>
          <w:szCs w:val="18"/>
        </w:rPr>
        <w:t>,</w:t>
      </w:r>
      <w:r w:rsidRPr="00CD48C4">
        <w:rPr>
          <w:rFonts w:asciiTheme="minorHAnsi" w:hAnsiTheme="minorHAnsi"/>
          <w:sz w:val="20"/>
          <w:szCs w:val="20"/>
        </w:rPr>
        <w:t xml:space="preserve"> MPiPS, 2013.</w:t>
      </w:r>
    </w:p>
  </w:footnote>
  <w:footnote w:id="74">
    <w:p w:rsidR="00832320" w:rsidRPr="002C6605" w:rsidRDefault="00832320" w:rsidP="00424449">
      <w:pPr>
        <w:pStyle w:val="Tekstprzypisudolnego"/>
      </w:pPr>
      <w:r>
        <w:rPr>
          <w:rStyle w:val="Odwoanieprzypisudolnego"/>
        </w:rPr>
        <w:footnoteRef/>
      </w:r>
      <w:r>
        <w:t xml:space="preserve"> A.</w:t>
      </w:r>
      <w:r w:rsidRPr="002C6605">
        <w:t xml:space="preserve"> Szczucka, K</w:t>
      </w:r>
      <w:r>
        <w:t>.</w:t>
      </w:r>
      <w:r w:rsidRPr="002C6605">
        <w:t xml:space="preserve"> Turek, B</w:t>
      </w:r>
      <w:r>
        <w:t>.</w:t>
      </w:r>
      <w:r w:rsidRPr="002C6605">
        <w:t xml:space="preserve"> Worek</w:t>
      </w:r>
      <w:r>
        <w:t xml:space="preserve">; </w:t>
      </w:r>
      <w:r w:rsidRPr="002C6605">
        <w:rPr>
          <w:i/>
        </w:rPr>
        <w:t>Kształcenie przez całe życie</w:t>
      </w:r>
      <w:r>
        <w:rPr>
          <w:i/>
        </w:rPr>
        <w:t xml:space="preserve">; </w:t>
      </w:r>
      <w:r w:rsidRPr="002C6605">
        <w:rPr>
          <w:i/>
        </w:rPr>
        <w:t>Na podstawie badań zrealizowanych w 2012 roku w ramach III edycji projektu Bilans Kapitału Ludzkiego</w:t>
      </w:r>
      <w:r>
        <w:rPr>
          <w:i/>
        </w:rPr>
        <w:t xml:space="preserve">; </w:t>
      </w:r>
    </w:p>
  </w:footnote>
  <w:footnote w:id="75">
    <w:p w:rsidR="00832320" w:rsidRDefault="00832320">
      <w:pPr>
        <w:pStyle w:val="Tekstprzypisudolnego"/>
      </w:pPr>
      <w:r>
        <w:rPr>
          <w:rStyle w:val="Odwoanieprzypisudolnego"/>
        </w:rPr>
        <w:footnoteRef/>
      </w:r>
      <w:r>
        <w:t xml:space="preserve"> </w:t>
      </w:r>
      <w:r w:rsidRPr="00840D84">
        <w:rPr>
          <w:i/>
        </w:rPr>
        <w:t>Badanie ankietowe rynku pracy. Raport 2013.</w:t>
      </w:r>
      <w:r>
        <w:t xml:space="preserve"> NBP i Instytut Ekonomiczny, </w:t>
      </w:r>
    </w:p>
  </w:footnote>
  <w:footnote w:id="76">
    <w:p w:rsidR="00832320" w:rsidRDefault="00832320">
      <w:pPr>
        <w:pStyle w:val="Tekstprzypisudolnego"/>
      </w:pPr>
      <w:r>
        <w:rPr>
          <w:rStyle w:val="Odwoanieprzypisudolnego"/>
        </w:rPr>
        <w:footnoteRef/>
      </w:r>
      <w:r>
        <w:t xml:space="preserve"> </w:t>
      </w:r>
      <w:r w:rsidRPr="00AB4061">
        <w:t>Zdrowie, praca i styl życia populacji 50+ w Polsce na tle innych krajów Europy; publikacja na podstawie badania SHARE, Centre for Economic Analysis</w:t>
      </w:r>
    </w:p>
  </w:footnote>
  <w:footnote w:id="77">
    <w:p w:rsidR="00832320" w:rsidRDefault="00832320" w:rsidP="00424449">
      <w:pPr>
        <w:pStyle w:val="Tekstprzypisudolnego"/>
      </w:pPr>
      <w:r>
        <w:rPr>
          <w:rStyle w:val="Odwoanieprzypisudolnego"/>
        </w:rPr>
        <w:footnoteRef/>
      </w:r>
      <w:r>
        <w:t xml:space="preserve"> Ubezpieczeni poddani rehabilitacji leczniczej w ramach prewencji rentowej ZUS w 2011 roku w 12 miesięcy po odbytej rehabilitacji, ZUS, Warszawa 2013.</w:t>
      </w:r>
    </w:p>
  </w:footnote>
  <w:footnote w:id="78">
    <w:p w:rsidR="00832320" w:rsidRDefault="00832320">
      <w:pPr>
        <w:pStyle w:val="Tekstprzypisudolnego"/>
      </w:pPr>
      <w:r>
        <w:rPr>
          <w:rStyle w:val="Odwoanieprzypisudolnego"/>
        </w:rPr>
        <w:footnoteRef/>
      </w:r>
      <w:r>
        <w:t xml:space="preserve"> </w:t>
      </w:r>
      <w:r w:rsidRPr="00B47A26">
        <w:rPr>
          <w:i/>
        </w:rPr>
        <w:t>Badanie ankietowe rynku pracy. Raport 2013.</w:t>
      </w:r>
      <w:r>
        <w:t xml:space="preserve"> NBP i Instytut Ekonomiczny,</w:t>
      </w:r>
    </w:p>
  </w:footnote>
  <w:footnote w:id="79">
    <w:p w:rsidR="00832320" w:rsidRDefault="00832320">
      <w:pPr>
        <w:pStyle w:val="Tekstprzypisudolnego"/>
      </w:pPr>
      <w:r>
        <w:rPr>
          <w:rStyle w:val="Odwoanieprzypisudolnego"/>
        </w:rPr>
        <w:footnoteRef/>
      </w:r>
      <w:r>
        <w:t xml:space="preserve"> Ubezpieczeni poddani rehabilitacji leczniczej w ramach prewencji rentowej ZUS w 2011 roku w 12 miesięcy po odbytej rehabilitacji, ZUS, Warszawa 2013.</w:t>
      </w:r>
    </w:p>
  </w:footnote>
  <w:footnote w:id="80">
    <w:p w:rsidR="00832320" w:rsidRDefault="00832320" w:rsidP="00424449">
      <w:pPr>
        <w:pStyle w:val="Tekstprzypisudolnego"/>
      </w:pPr>
      <w:r>
        <w:rPr>
          <w:rStyle w:val="Odwoanieprzypisudolnego"/>
        </w:rPr>
        <w:footnoteRef/>
      </w:r>
      <w:r>
        <w:t xml:space="preserve"> </w:t>
      </w:r>
      <w:r w:rsidRPr="00B038E7">
        <w:rPr>
          <w:i/>
        </w:rPr>
        <w:t>Społeczne nierówności w zdrowiu w Polsce</w:t>
      </w:r>
      <w:r>
        <w:t>, WHO, 2011 r.</w:t>
      </w:r>
    </w:p>
  </w:footnote>
  <w:footnote w:id="81">
    <w:p w:rsidR="00832320" w:rsidRPr="007B542C" w:rsidRDefault="00832320">
      <w:pPr>
        <w:pStyle w:val="Tekstprzypisudolnego"/>
        <w:rPr>
          <w:i/>
        </w:rPr>
      </w:pPr>
      <w:r>
        <w:rPr>
          <w:rStyle w:val="Odwoanieprzypisudolnego"/>
        </w:rPr>
        <w:footnoteRef/>
      </w:r>
      <w:r>
        <w:t xml:space="preserve"> Identyfikacja powinna być prowadzona na podstawie danych o warunkach pracy: </w:t>
      </w:r>
      <w:r>
        <w:rPr>
          <w:i/>
        </w:rPr>
        <w:t xml:space="preserve">Warunki pracy w 2012, Warszawa, GUS 2013 r. </w:t>
      </w:r>
    </w:p>
  </w:footnote>
  <w:footnote w:id="82">
    <w:p w:rsidR="00832320" w:rsidRDefault="00832320" w:rsidP="002B502A">
      <w:pPr>
        <w:pStyle w:val="Tekstprzypisudolnego"/>
      </w:pPr>
      <w:r>
        <w:rPr>
          <w:rStyle w:val="Odwoanieprzypisudolnego"/>
        </w:rPr>
        <w:footnoteRef/>
      </w:r>
      <w:r>
        <w:t xml:space="preserve"> GUS, </w:t>
      </w:r>
      <w:r>
        <w:rPr>
          <w:i/>
        </w:rPr>
        <w:t xml:space="preserve">Jakość życia, kapitał społeczny, ubóstwo i wykluczenie społeczne w Polsce, </w:t>
      </w:r>
      <w:r>
        <w:t>Warszawa 2013,</w:t>
      </w:r>
    </w:p>
  </w:footnote>
  <w:footnote w:id="83">
    <w:p w:rsidR="00832320" w:rsidRPr="005B2EC2" w:rsidRDefault="00832320">
      <w:pPr>
        <w:pStyle w:val="Tekstprzypisudolnego"/>
      </w:pPr>
      <w:r>
        <w:rPr>
          <w:rStyle w:val="Odwoanieprzypisudolnego"/>
        </w:rPr>
        <w:footnoteRef/>
      </w:r>
      <w:r>
        <w:rPr>
          <w:i/>
        </w:rPr>
        <w:t xml:space="preserve">Pracownicy socjalni i praca socjalna w Polsce, Między służbą społeczną a urzędem, </w:t>
      </w:r>
      <w:r>
        <w:t>red. M. Rymsza, ISP, Warszawa 2012.</w:t>
      </w:r>
    </w:p>
  </w:footnote>
  <w:footnote w:id="84">
    <w:p w:rsidR="00832320" w:rsidRDefault="00832320" w:rsidP="00424449">
      <w:pPr>
        <w:pStyle w:val="Tekstprzypisudolnego"/>
      </w:pPr>
      <w:r>
        <w:rPr>
          <w:rStyle w:val="Odwoanieprzypisudolnego"/>
        </w:rPr>
        <w:footnoteRef/>
      </w:r>
      <w:r w:rsidRPr="005B2EC2">
        <w:rPr>
          <w:i/>
        </w:rPr>
        <w:t>Badanie skuteczności wsparcia realizowanego w ramach komponentu regionalnego PO KL 2007-2013,</w:t>
      </w:r>
      <w:r>
        <w:t xml:space="preserve"> II raport cząstkowy, PAG Uniconsult na zlecenie MRR, Warszawa 2014.</w:t>
      </w:r>
    </w:p>
  </w:footnote>
  <w:footnote w:id="85">
    <w:p w:rsidR="00832320" w:rsidRDefault="00832320" w:rsidP="00424449">
      <w:pPr>
        <w:pStyle w:val="Tekstprzypisudolnego"/>
      </w:pPr>
      <w:r>
        <w:rPr>
          <w:rStyle w:val="Odwoanieprzypisudolnego"/>
        </w:rPr>
        <w:footnoteRef/>
      </w:r>
      <w:r w:rsidRPr="00F36924">
        <w:rPr>
          <w:i/>
        </w:rPr>
        <w:t>Badanie osiągniętych wartości wskaźników rezultatu komponentu regionalnego PO KL - raport podsumowujący</w:t>
      </w:r>
      <w:r>
        <w:t>, PAG Uniconsult na zlecenie MRR, Warszawa 2012 .</w:t>
      </w:r>
    </w:p>
  </w:footnote>
  <w:footnote w:id="86">
    <w:p w:rsidR="00832320" w:rsidRPr="00850092" w:rsidRDefault="00832320" w:rsidP="00424449">
      <w:pPr>
        <w:pStyle w:val="Tekstprzypisudolnego"/>
      </w:pPr>
      <w:r>
        <w:rPr>
          <w:rStyle w:val="Odwoanieprzypisudolnego"/>
        </w:rPr>
        <w:footnoteRef/>
      </w:r>
      <w:r>
        <w:rPr>
          <w:i/>
        </w:rPr>
        <w:t>Krajowy program przeciwdziałania ubóstwu i w</w:t>
      </w:r>
      <w:r w:rsidRPr="00850092">
        <w:rPr>
          <w:i/>
        </w:rPr>
        <w:t>ykluczeniu</w:t>
      </w:r>
      <w:r>
        <w:rPr>
          <w:i/>
        </w:rPr>
        <w:t xml:space="preserve"> społecznemu 2020; </w:t>
      </w:r>
      <w:r w:rsidRPr="00850092">
        <w:rPr>
          <w:i/>
        </w:rPr>
        <w:t>Nowy wymiar aktywnej integracji</w:t>
      </w:r>
      <w:r>
        <w:rPr>
          <w:i/>
        </w:rPr>
        <w:t xml:space="preserve">. </w:t>
      </w:r>
      <w:r>
        <w:t>MPiPS, Warszawa 2013</w:t>
      </w:r>
    </w:p>
  </w:footnote>
  <w:footnote w:id="87">
    <w:p w:rsidR="00832320" w:rsidRPr="006667E0" w:rsidRDefault="00832320" w:rsidP="00424449">
      <w:pPr>
        <w:pStyle w:val="Tekstprzypisudolnego"/>
        <w:jc w:val="left"/>
        <w:rPr>
          <w:i/>
        </w:rPr>
      </w:pPr>
      <w:r w:rsidRPr="006667E0">
        <w:rPr>
          <w:rStyle w:val="Odwoanieprzypisudolnego"/>
        </w:rPr>
        <w:footnoteRef/>
      </w:r>
      <w:r w:rsidRPr="006667E0">
        <w:rPr>
          <w:rStyle w:val="Uwydatnienie"/>
        </w:rPr>
        <w:t>Grupy o niskim statusie</w:t>
      </w:r>
      <w:r w:rsidRPr="006667E0">
        <w:t xml:space="preserve"> społeczno-ekonomicznym w polskim społeczeństwie oraz instrumenty i dylematy polityki na ich rzecz, </w:t>
      </w:r>
      <w:r w:rsidRPr="006667E0">
        <w:rPr>
          <w:rStyle w:val="Uwydatnienie"/>
        </w:rPr>
        <w:t xml:space="preserve">Bakalarczyk </w:t>
      </w:r>
      <w:r w:rsidRPr="006667E0">
        <w:t>R., Uniwersytet Warszawski, 2011</w:t>
      </w:r>
      <w:r>
        <w:t>.</w:t>
      </w:r>
    </w:p>
  </w:footnote>
  <w:footnote w:id="88">
    <w:p w:rsidR="00832320" w:rsidRPr="000772D1" w:rsidRDefault="00832320" w:rsidP="00424449">
      <w:pPr>
        <w:pStyle w:val="Tekstprzypisudolnego"/>
        <w:jc w:val="left"/>
      </w:pPr>
      <w:r w:rsidRPr="000772D1">
        <w:rPr>
          <w:rStyle w:val="Odwoanieprzypisudolnego"/>
        </w:rPr>
        <w:footnoteRef/>
      </w:r>
      <w:r w:rsidRPr="000772D1">
        <w:rPr>
          <w:i/>
        </w:rPr>
        <w:t>Ewaluacja projektów systemowych OPS i PCPR w ramach Działania 7.1 PO KL w województwiepodkarpackim. Raport końcowy</w:t>
      </w:r>
      <w:r>
        <w:t xml:space="preserve">, Warszawa, grudzień 2010. </w:t>
      </w:r>
      <w:r w:rsidRPr="000772D1">
        <w:t>http://www.rops.rzeszow.pl/dokumenty/efs/Ewaluacja_projektow_systemowych_raport_koncowy_grudzien_2010.pdf, dostęp 31.07.2013</w:t>
      </w:r>
      <w:r>
        <w:t>.</w:t>
      </w:r>
    </w:p>
  </w:footnote>
  <w:footnote w:id="89">
    <w:p w:rsidR="00832320" w:rsidRPr="000772D1" w:rsidRDefault="00832320" w:rsidP="00424449">
      <w:pPr>
        <w:pStyle w:val="Tekstprzypisudolnego"/>
        <w:jc w:val="left"/>
      </w:pPr>
      <w:r w:rsidRPr="000772D1">
        <w:rPr>
          <w:rStyle w:val="Odwoanieprzypisudolnego"/>
        </w:rPr>
        <w:footnoteRef/>
      </w:r>
      <w:r w:rsidRPr="000772D1">
        <w:t xml:space="preserve"> Por. </w:t>
      </w:r>
      <w:r w:rsidRPr="000772D1">
        <w:rPr>
          <w:i/>
        </w:rPr>
        <w:t>Krajowy Program Przeciwdziałania Ubóstwu i Wykluczeniu Społecznemu</w:t>
      </w:r>
      <w:r w:rsidRPr="000772D1">
        <w:t>, Priorytet III, Działanie III.1  oraz Priorytet IV, Działanie VI.4.</w:t>
      </w:r>
    </w:p>
  </w:footnote>
  <w:footnote w:id="90">
    <w:p w:rsidR="00832320" w:rsidRPr="009F526E" w:rsidRDefault="00832320" w:rsidP="00424449">
      <w:pPr>
        <w:pStyle w:val="Tekstprzypisudolnego"/>
        <w:jc w:val="left"/>
      </w:pPr>
      <w:r w:rsidRPr="00DD7B79">
        <w:rPr>
          <w:i/>
          <w:vertAlign w:val="superscript"/>
        </w:rPr>
        <w:footnoteRef/>
      </w:r>
      <w:r w:rsidRPr="009F526E">
        <w:rPr>
          <w:i/>
        </w:rPr>
        <w:t xml:space="preserve"> Analiza aktywności projektodawców w województwie podkarpackim w zakresie działań skierowanych do osób zagrożonych wykluczeniem społecznym w ramach Priorytetu VII PO KL, w tym analiza aktywności instytucji pomocy społecznej (ROPS, OPS, PCPR) w realizacji działań współfinansowanych z EFS,</w:t>
      </w:r>
      <w:r>
        <w:t xml:space="preserve"> PSDB na zlecenie WUP w Rzeszowie, Warszawa 2009.</w:t>
      </w:r>
    </w:p>
  </w:footnote>
  <w:footnote w:id="91">
    <w:p w:rsidR="00832320" w:rsidRDefault="00832320" w:rsidP="00424449">
      <w:pPr>
        <w:pStyle w:val="Tekstprzypisudolnego"/>
      </w:pPr>
      <w:r>
        <w:rPr>
          <w:rStyle w:val="Odwoanieprzypisudolnego"/>
        </w:rPr>
        <w:footnoteRef/>
      </w:r>
      <w:r>
        <w:t xml:space="preserve"> NIK, </w:t>
      </w:r>
      <w:r w:rsidRPr="00100553">
        <w:rPr>
          <w:i/>
        </w:rPr>
        <w:t>Realizacja kontraktów socjalnych przez miejskie i gminne ośrodki pomocy społecznej</w:t>
      </w:r>
      <w:r>
        <w:rPr>
          <w:i/>
        </w:rPr>
        <w:t xml:space="preserve">, </w:t>
      </w:r>
      <w:r>
        <w:t>Warszawa 2013.</w:t>
      </w:r>
    </w:p>
  </w:footnote>
  <w:footnote w:id="92">
    <w:p w:rsidR="00832320" w:rsidRDefault="00832320" w:rsidP="00424449">
      <w:pPr>
        <w:pStyle w:val="Tekstprzypisudolnego"/>
      </w:pPr>
      <w:r>
        <w:rPr>
          <w:rStyle w:val="Odwoanieprzypisudolnego"/>
        </w:rPr>
        <w:footnoteRef/>
      </w:r>
      <w:r w:rsidRPr="00020466">
        <w:rPr>
          <w:i/>
        </w:rPr>
        <w:t>Krajowy raport badawczy</w:t>
      </w:r>
      <w:r>
        <w:t>, red. R. Szarfenberg, WRZOS, Warszawa 2011</w:t>
      </w:r>
    </w:p>
  </w:footnote>
  <w:footnote w:id="93">
    <w:p w:rsidR="00832320" w:rsidRDefault="00832320">
      <w:pPr>
        <w:pStyle w:val="Tekstprzypisudolnego"/>
      </w:pPr>
      <w:r>
        <w:rPr>
          <w:rStyle w:val="Odwoanieprzypisudolnego"/>
        </w:rPr>
        <w:footnoteRef/>
      </w:r>
      <w:r w:rsidRPr="00020466">
        <w:rPr>
          <w:i/>
        </w:rPr>
        <w:t>Krajowy raport badawczy</w:t>
      </w:r>
      <w:r>
        <w:t>, red. R. Szarfenberg, WRZOS, Warszawa 2011</w:t>
      </w:r>
    </w:p>
  </w:footnote>
  <w:footnote w:id="94">
    <w:p w:rsidR="00832320" w:rsidRDefault="00832320">
      <w:pPr>
        <w:pStyle w:val="Tekstprzypisudolnego"/>
      </w:pPr>
      <w:r>
        <w:rPr>
          <w:rStyle w:val="Odwoanieprzypisudolnego"/>
        </w:rPr>
        <w:footnoteRef/>
      </w:r>
      <w:r w:rsidRPr="00DD7B79">
        <w:t>Przemiany demograficzne i starzenie się społeczeństwa: konsekwencje dla lokalnych rynków pracy w Polsce, OECD, MRR, Warszawa 2012</w:t>
      </w:r>
    </w:p>
  </w:footnote>
  <w:footnote w:id="95">
    <w:p w:rsidR="00832320" w:rsidRDefault="00832320">
      <w:pPr>
        <w:pStyle w:val="Tekstprzypisudolnego"/>
      </w:pPr>
      <w:r>
        <w:rPr>
          <w:rStyle w:val="Odwoanieprzypisudolnego"/>
        </w:rPr>
        <w:footnoteRef/>
      </w:r>
      <w:r w:rsidRPr="008364AA">
        <w:rPr>
          <w:i/>
        </w:rPr>
        <w:t>Zdrowie, praca i styl życia populacji 50+ w Polsce na tle innych krajów Europy</w:t>
      </w:r>
      <w:r>
        <w:rPr>
          <w:i/>
        </w:rPr>
        <w:t xml:space="preserve">; </w:t>
      </w:r>
      <w:r>
        <w:t xml:space="preserve">publikacja na podstawie badania SHARE, </w:t>
      </w:r>
      <w:r w:rsidRPr="00D142B2">
        <w:t>Centre for Economic Analysis</w:t>
      </w:r>
    </w:p>
  </w:footnote>
  <w:footnote w:id="96">
    <w:p w:rsidR="00832320" w:rsidRDefault="00832320">
      <w:pPr>
        <w:pStyle w:val="Tekstprzypisudolnego"/>
      </w:pPr>
      <w:r>
        <w:rPr>
          <w:rStyle w:val="Odwoanieprzypisudolnego"/>
        </w:rPr>
        <w:footnoteRef/>
      </w:r>
      <w:r w:rsidRPr="00B75447">
        <w:t xml:space="preserve">Raport końcowy z badania ewaluacyjnego pn. </w:t>
      </w:r>
      <w:r w:rsidRPr="00B75447">
        <w:rPr>
          <w:i/>
        </w:rPr>
        <w:t>Ocena wsparcia w obszarze ekonomii społecznej udzielonego ze środków EFS w ramach PO KL</w:t>
      </w:r>
      <w:r w:rsidRPr="00B75447">
        <w:t>, Coffey International Development dla MIiR, Warszawa grudzień 2013</w:t>
      </w:r>
    </w:p>
  </w:footnote>
  <w:footnote w:id="97">
    <w:p w:rsidR="00832320" w:rsidRDefault="00832320">
      <w:pPr>
        <w:pStyle w:val="Tekstprzypisudolnego"/>
      </w:pPr>
      <w:r>
        <w:rPr>
          <w:rStyle w:val="Odwoanieprzypisudolnego"/>
        </w:rPr>
        <w:footnoteRef/>
      </w:r>
      <w:r w:rsidRPr="00B75447">
        <w:rPr>
          <w:i/>
        </w:rPr>
        <w:t xml:space="preserve">Ocena wsparcia </w:t>
      </w:r>
      <w:r>
        <w:rPr>
          <w:i/>
        </w:rPr>
        <w:t>w obszarze ekonomii społecznej…</w:t>
      </w:r>
    </w:p>
  </w:footnote>
  <w:footnote w:id="98">
    <w:p w:rsidR="00832320" w:rsidRDefault="00832320">
      <w:pPr>
        <w:pStyle w:val="Tekstprzypisudolnego"/>
      </w:pPr>
      <w:r>
        <w:rPr>
          <w:rStyle w:val="Odwoanieprzypisudolnego"/>
        </w:rPr>
        <w:footnoteRef/>
      </w:r>
      <w:r w:rsidRPr="00B75447">
        <w:rPr>
          <w:i/>
        </w:rPr>
        <w:t xml:space="preserve">Ocena wsparcia </w:t>
      </w:r>
      <w:r>
        <w:rPr>
          <w:i/>
        </w:rPr>
        <w:t>w obszarze ekonomii społecznej…</w:t>
      </w:r>
    </w:p>
  </w:footnote>
  <w:footnote w:id="99">
    <w:p w:rsidR="00832320" w:rsidRDefault="00832320" w:rsidP="00BC2878">
      <w:pPr>
        <w:pStyle w:val="Tekstprzypisudolnego"/>
        <w:rPr>
          <w:sz w:val="18"/>
          <w:szCs w:val="18"/>
        </w:rPr>
      </w:pPr>
      <w:r>
        <w:rPr>
          <w:rStyle w:val="Odwoanieprzypisudolnego"/>
          <w:sz w:val="18"/>
          <w:szCs w:val="18"/>
        </w:rPr>
        <w:footnoteRef/>
      </w:r>
      <w:r>
        <w:rPr>
          <w:sz w:val="18"/>
          <w:szCs w:val="18"/>
        </w:rPr>
        <w:t xml:space="preserve"> Zgodnie z planem działania Komisji Europejskiej na rzecz ograniczenia zjawiska przedwczesnego kończenia nauki szkolnej z 31.01.2011 r., </w:t>
      </w:r>
      <w:hyperlink r:id="rId1" w:history="1">
        <w:r>
          <w:rPr>
            <w:rStyle w:val="Hipercze"/>
            <w:sz w:val="18"/>
            <w:szCs w:val="18"/>
          </w:rPr>
          <w:t>http://europa.eu/rapid/press-release_IP-11-109_pl.htm</w:t>
        </w:r>
      </w:hyperlink>
      <w:r>
        <w:rPr>
          <w:sz w:val="18"/>
          <w:szCs w:val="18"/>
        </w:rPr>
        <w:t>, 19.11.2013; zgodnie z zaleceniem Parlamentu Europejskiego i Rady z dnia 18.12.2006 r. w sprawie kompetencji kluczowych w procesie uczenia się przez całe życie.</w:t>
      </w:r>
    </w:p>
  </w:footnote>
  <w:footnote w:id="100">
    <w:p w:rsidR="00832320" w:rsidRDefault="00832320" w:rsidP="00BC2878">
      <w:pPr>
        <w:pStyle w:val="Tekstprzypisudolnego"/>
        <w:rPr>
          <w:sz w:val="18"/>
          <w:szCs w:val="18"/>
        </w:rPr>
      </w:pPr>
      <w:r>
        <w:rPr>
          <w:rStyle w:val="Odwoanieprzypisudolnego"/>
          <w:sz w:val="18"/>
          <w:szCs w:val="18"/>
        </w:rPr>
        <w:footnoteRef/>
      </w:r>
      <w:r>
        <w:rPr>
          <w:sz w:val="18"/>
          <w:szCs w:val="18"/>
        </w:rPr>
        <w:t xml:space="preserve"> Raport końcowy z badania </w:t>
      </w:r>
      <w:r>
        <w:rPr>
          <w:bCs/>
          <w:i/>
          <w:iCs/>
          <w:sz w:val="18"/>
          <w:szCs w:val="18"/>
        </w:rPr>
        <w:t xml:space="preserve">Ocena ośrodków wychowania przedszkolnego, utworzonych lub wspartych ze środków finansowych EFS w ramach Poddziałania 9.1.1 PO KL, </w:t>
      </w:r>
      <w:r>
        <w:rPr>
          <w:bCs/>
          <w:iCs/>
          <w:sz w:val="18"/>
          <w:szCs w:val="18"/>
        </w:rPr>
        <w:t>Ministerstwo Rozwoju Regionalnego, Warszawa 2012.</w:t>
      </w:r>
    </w:p>
  </w:footnote>
  <w:footnote w:id="101">
    <w:p w:rsidR="00832320" w:rsidRDefault="00832320" w:rsidP="00BC2878">
      <w:pPr>
        <w:pStyle w:val="Tekstprzypisudolnego"/>
        <w:rPr>
          <w:sz w:val="18"/>
          <w:szCs w:val="18"/>
        </w:rPr>
      </w:pPr>
      <w:r>
        <w:rPr>
          <w:rStyle w:val="Odwoanieprzypisudolnego"/>
          <w:sz w:val="18"/>
          <w:szCs w:val="18"/>
        </w:rPr>
        <w:footnoteRef/>
      </w:r>
      <w:r>
        <w:rPr>
          <w:i/>
          <w:iCs/>
          <w:sz w:val="18"/>
          <w:szCs w:val="18"/>
        </w:rPr>
        <w:t>Modernisingvocationaleducation and training – sunthesis report on vocationaleducation and trainingresearch in Europe</w:t>
      </w:r>
      <w:r>
        <w:rPr>
          <w:sz w:val="18"/>
          <w:szCs w:val="18"/>
        </w:rPr>
        <w:t xml:space="preserve">, CEDEFOP European Centre for the Development of Vocational Training, Luzemburg 2009; Współpraca pracodawców i organizacji pracodawców ze szkołami zawodowymi – raport końcowy z badania jakościowego w subregionach, Laboratorium Badań Społecznych, Warszawa 2012; </w:t>
      </w:r>
      <w:r>
        <w:rPr>
          <w:i/>
          <w:iCs/>
          <w:sz w:val="18"/>
          <w:szCs w:val="18"/>
        </w:rPr>
        <w:t>Nauka zawodu – szkoła czy pracodawca? Raport z badania praktycznej nauki zawodu realizowanej przez małopolskich przedsiębiorców</w:t>
      </w:r>
      <w:r>
        <w:rPr>
          <w:sz w:val="18"/>
          <w:szCs w:val="18"/>
        </w:rPr>
        <w:t xml:space="preserve">, Małopolski Obserwatorium Rynku Pracy i Edukacji, Kraków 2009. </w:t>
      </w:r>
    </w:p>
  </w:footnote>
  <w:footnote w:id="102">
    <w:p w:rsidR="00832320" w:rsidRDefault="00832320" w:rsidP="00BC2878">
      <w:pPr>
        <w:pStyle w:val="Tekstprzypisudolnego"/>
        <w:rPr>
          <w:sz w:val="18"/>
          <w:szCs w:val="18"/>
        </w:rPr>
      </w:pPr>
      <w:r>
        <w:rPr>
          <w:rStyle w:val="Odwoanieprzypisudolnego"/>
          <w:sz w:val="18"/>
          <w:szCs w:val="18"/>
        </w:rPr>
        <w:footnoteRef/>
      </w:r>
      <w:r>
        <w:rPr>
          <w:i/>
          <w:iCs/>
          <w:sz w:val="18"/>
          <w:szCs w:val="18"/>
        </w:rPr>
        <w:t>Perspektywa uczenia się przez całe życie</w:t>
      </w:r>
      <w:r>
        <w:rPr>
          <w:sz w:val="18"/>
          <w:szCs w:val="18"/>
        </w:rPr>
        <w:t xml:space="preserve">, Międzyresortowy Zespół do spraw uczenia się przez całe życie, w tym Krajowych Ram kwalifikacji, Warszawa 2011; </w:t>
      </w:r>
      <w:r>
        <w:rPr>
          <w:i/>
          <w:iCs/>
          <w:sz w:val="18"/>
          <w:szCs w:val="18"/>
        </w:rPr>
        <w:t>Ewaluacja działań podejmowanych na rzecz systemu kształcenia i szkolenia w ramach EFS – raport końcowy</w:t>
      </w:r>
      <w:r>
        <w:rPr>
          <w:sz w:val="18"/>
          <w:szCs w:val="18"/>
        </w:rPr>
        <w:t>, Agrotec Polska, Polskie Towarzystwo Socjologiczne, Warszawa 2008.</w:t>
      </w:r>
    </w:p>
  </w:footnote>
  <w:footnote w:id="103">
    <w:p w:rsidR="00832320" w:rsidRDefault="00832320">
      <w:pPr>
        <w:pStyle w:val="Tekstprzypisudolnego"/>
      </w:pPr>
      <w:r>
        <w:rPr>
          <w:rStyle w:val="Odwoanieprzypisudolnego"/>
        </w:rPr>
        <w:footnoteRef/>
      </w:r>
      <w:r>
        <w:t xml:space="preserve"> </w:t>
      </w:r>
      <w:r w:rsidRPr="003E2FA6">
        <w:rPr>
          <w:sz w:val="18"/>
        </w:rPr>
        <w:t xml:space="preserve">Obliczenia własne na podstawie prognozy demograficznej GUS. </w:t>
      </w:r>
    </w:p>
  </w:footnote>
  <w:footnote w:id="104">
    <w:p w:rsidR="00832320" w:rsidRDefault="00832320" w:rsidP="00BC2878">
      <w:pPr>
        <w:pStyle w:val="Tekstprzypisudolnego"/>
        <w:rPr>
          <w:sz w:val="18"/>
          <w:szCs w:val="18"/>
        </w:rPr>
      </w:pPr>
      <w:r>
        <w:rPr>
          <w:rStyle w:val="Odwoanieprzypisudolnego"/>
          <w:sz w:val="18"/>
          <w:szCs w:val="18"/>
        </w:rPr>
        <w:footnoteRef/>
      </w:r>
      <w:r>
        <w:rPr>
          <w:i/>
          <w:iCs/>
          <w:sz w:val="18"/>
          <w:szCs w:val="18"/>
        </w:rPr>
        <w:t>Kompetencje nauczycieli wychowania przedszkolnego i edukacji wczesnoszkolnej</w:t>
      </w:r>
      <w:r>
        <w:rPr>
          <w:sz w:val="18"/>
          <w:szCs w:val="18"/>
        </w:rPr>
        <w:t xml:space="preserve">, raport z diagnozy potrzeb doskonalenia zawodowego nauczycieli w woj. mazowieckim, Mazowiecki zespół ds. systemowego badania potrzeb doskonalenia zawodowego nauczycieli, Warszawa 2010. </w:t>
      </w:r>
    </w:p>
  </w:footnote>
  <w:footnote w:id="105">
    <w:p w:rsidR="00832320" w:rsidRDefault="00832320">
      <w:pPr>
        <w:pStyle w:val="Tekstprzypisudolnego"/>
      </w:pPr>
      <w:r>
        <w:rPr>
          <w:rStyle w:val="Odwoanieprzypisudolnego"/>
        </w:rPr>
        <w:footnoteRef/>
      </w:r>
      <w:r>
        <w:t xml:space="preserve"> </w:t>
      </w:r>
      <w:r w:rsidRPr="003E2FA6">
        <w:rPr>
          <w:sz w:val="18"/>
        </w:rPr>
        <w:t>Badania dotyczą innego regionu, choć istnieje wysokie prawdopodobieństwo, że opisane zjawiska są adekwatne również dla województwa podkarpackiego</w:t>
      </w:r>
    </w:p>
  </w:footnote>
  <w:footnote w:id="106">
    <w:p w:rsidR="00832320" w:rsidRDefault="00832320" w:rsidP="00BC2878">
      <w:pPr>
        <w:pStyle w:val="Tekstprzypisudolnego"/>
        <w:rPr>
          <w:sz w:val="18"/>
          <w:szCs w:val="18"/>
        </w:rPr>
      </w:pPr>
      <w:r>
        <w:rPr>
          <w:rStyle w:val="Odwoanieprzypisudolnego"/>
          <w:sz w:val="18"/>
          <w:szCs w:val="18"/>
        </w:rPr>
        <w:footnoteRef/>
      </w:r>
      <w:r>
        <w:rPr>
          <w:sz w:val="18"/>
          <w:szCs w:val="18"/>
        </w:rPr>
        <w:t xml:space="preserve"> Z zaleceń PE i KE wynika, że rozwój kompetencji kluczowych, jako element uczenia się przez całe życie, </w:t>
      </w:r>
      <w:r>
        <w:rPr>
          <w:i/>
          <w:iCs/>
          <w:sz w:val="18"/>
          <w:szCs w:val="18"/>
        </w:rPr>
        <w:t>powinien obejmować okres od wieku przedszkolnego do wieku emerytalnego.</w:t>
      </w:r>
      <w:r>
        <w:rPr>
          <w:sz w:val="18"/>
          <w:szCs w:val="18"/>
        </w:rPr>
        <w:t xml:space="preserve"> Luki kompetencyjne studentów w zakresie kompetencji kluczowych są głównie wynikiem braku lub niedostatecznego nacisku na działania edukacyjne na niższym poziomie nauczania.</w:t>
      </w:r>
      <w:r>
        <w:rPr>
          <w:i/>
          <w:iCs/>
          <w:sz w:val="18"/>
          <w:szCs w:val="18"/>
        </w:rPr>
        <w:t xml:space="preserve"> (za: </w:t>
      </w:r>
      <w:r>
        <w:rPr>
          <w:sz w:val="18"/>
          <w:szCs w:val="18"/>
        </w:rPr>
        <w:t xml:space="preserve">Małecki W., </w:t>
      </w:r>
      <w:r>
        <w:rPr>
          <w:i/>
          <w:iCs/>
          <w:sz w:val="18"/>
          <w:szCs w:val="18"/>
        </w:rPr>
        <w:t xml:space="preserve">Kompetencje kluczowe w uczeniu się przez całe życie – europejskie ramy odniesienia, </w:t>
      </w:r>
      <w:r>
        <w:rPr>
          <w:sz w:val="18"/>
          <w:szCs w:val="18"/>
        </w:rPr>
        <w:t>załącznik do Zaleceń Parlamentu Europejskiego z dnia 18.12.2006 r. w sprawie kompetencji kluczowych w procesie uczenia się przez całe życie., Wrocław,  s. 15).</w:t>
      </w:r>
    </w:p>
  </w:footnote>
  <w:footnote w:id="107">
    <w:p w:rsidR="00832320" w:rsidRPr="00E75703" w:rsidRDefault="00832320" w:rsidP="00BC2878">
      <w:pPr>
        <w:pStyle w:val="Tekstprzypisudolnego"/>
        <w:rPr>
          <w:sz w:val="18"/>
          <w:szCs w:val="18"/>
        </w:rPr>
      </w:pPr>
      <w:r>
        <w:rPr>
          <w:rStyle w:val="Odwoanieprzypisudolnego"/>
          <w:sz w:val="18"/>
          <w:szCs w:val="18"/>
        </w:rPr>
        <w:footnoteRef/>
      </w:r>
      <w:r w:rsidRPr="00E75703">
        <w:rPr>
          <w:sz w:val="18"/>
          <w:szCs w:val="18"/>
        </w:rPr>
        <w:t xml:space="preserve"> J. Hattie</w:t>
      </w:r>
      <w:r w:rsidRPr="00E75703">
        <w:rPr>
          <w:i/>
          <w:sz w:val="18"/>
          <w:szCs w:val="18"/>
        </w:rPr>
        <w:t>, op. cit</w:t>
      </w:r>
      <w:r w:rsidRPr="00E75703">
        <w:rPr>
          <w:sz w:val="18"/>
          <w:szCs w:val="18"/>
        </w:rPr>
        <w:t xml:space="preserve">, </w:t>
      </w:r>
    </w:p>
  </w:footnote>
  <w:footnote w:id="108">
    <w:p w:rsidR="00832320" w:rsidRDefault="00832320" w:rsidP="00BC2878">
      <w:pPr>
        <w:pStyle w:val="Tekstprzypisudolnego"/>
        <w:rPr>
          <w:sz w:val="18"/>
          <w:szCs w:val="18"/>
        </w:rPr>
      </w:pPr>
      <w:r>
        <w:rPr>
          <w:rStyle w:val="Odwoanieprzypisudolnego"/>
          <w:sz w:val="18"/>
          <w:szCs w:val="18"/>
        </w:rPr>
        <w:footnoteRef/>
      </w:r>
      <w:r>
        <w:rPr>
          <w:sz w:val="18"/>
          <w:szCs w:val="18"/>
        </w:rPr>
        <w:t xml:space="preserve"> Ewaluacja wykazała efekt nadmiernego obciążenia uczestników projektu ilością dodatkowych zajęć, [w:] </w:t>
      </w:r>
      <w:r>
        <w:rPr>
          <w:i/>
          <w:iCs/>
          <w:sz w:val="18"/>
          <w:szCs w:val="18"/>
        </w:rPr>
        <w:t>Badanie wpływu projektów zrealizowanych w Poddziałaniu 9.1.2 PO KL na wzrost jakości i dostępności edukacji w województwie pomorskim</w:t>
      </w:r>
      <w:r>
        <w:rPr>
          <w:sz w:val="18"/>
          <w:szCs w:val="18"/>
        </w:rPr>
        <w:t>, Resoruce Pracownia Badań i Doradztwa.</w:t>
      </w:r>
    </w:p>
  </w:footnote>
  <w:footnote w:id="109">
    <w:p w:rsidR="00832320" w:rsidRDefault="00832320" w:rsidP="00BC2878">
      <w:pPr>
        <w:pStyle w:val="Tekstprzypisudolnego"/>
        <w:rPr>
          <w:rFonts w:ascii="Calibri" w:hAnsi="Calibri"/>
          <w:lang w:val="en-US"/>
        </w:rPr>
      </w:pPr>
      <w:r>
        <w:rPr>
          <w:rStyle w:val="Odwoanieprzypisudolnego"/>
        </w:rPr>
        <w:footnoteRef/>
      </w:r>
      <w:r>
        <w:rPr>
          <w:sz w:val="18"/>
          <w:szCs w:val="18"/>
          <w:lang w:val="en-US"/>
        </w:rPr>
        <w:t xml:space="preserve">J. Hattie, </w:t>
      </w:r>
      <w:r>
        <w:rPr>
          <w:i/>
          <w:sz w:val="18"/>
          <w:szCs w:val="18"/>
          <w:lang w:val="en-US"/>
        </w:rPr>
        <w:t xml:space="preserve">Visible learning, A synthesis of over 800 meta-analyses relating to achievment, </w:t>
      </w:r>
      <w:r>
        <w:rPr>
          <w:iCs/>
          <w:sz w:val="18"/>
          <w:szCs w:val="18"/>
          <w:lang w:val="en-US"/>
        </w:rPr>
        <w:t>Routledge, 2009.</w:t>
      </w:r>
    </w:p>
  </w:footnote>
  <w:footnote w:id="110">
    <w:p w:rsidR="00832320" w:rsidRDefault="00832320" w:rsidP="00BC2878">
      <w:pPr>
        <w:pStyle w:val="Tekstprzypisudolnego"/>
        <w:rPr>
          <w:sz w:val="18"/>
          <w:szCs w:val="18"/>
        </w:rPr>
      </w:pPr>
      <w:r>
        <w:rPr>
          <w:rStyle w:val="Odwoanieprzypisudolnego"/>
          <w:sz w:val="18"/>
          <w:szCs w:val="18"/>
        </w:rPr>
        <w:footnoteRef/>
      </w:r>
      <w:r>
        <w:rPr>
          <w:sz w:val="18"/>
          <w:szCs w:val="18"/>
        </w:rPr>
        <w:t xml:space="preserve"> Jak pokazują wyniki badania </w:t>
      </w:r>
      <w:r>
        <w:rPr>
          <w:i/>
          <w:sz w:val="18"/>
          <w:szCs w:val="18"/>
        </w:rPr>
        <w:t>Ocena ośrodków wychowania przedszkolnego, utworzonych lub wspartych ze środków finansowych EFS w ramach Poddziałania 9.1.1 PO KL</w:t>
      </w:r>
      <w:r>
        <w:rPr>
          <w:sz w:val="18"/>
          <w:szCs w:val="18"/>
        </w:rPr>
        <w:t xml:space="preserve">¸ przedszkola powstałe w ramach Poddziałania 9.1.1 PO KL są trwałe ( 86%), jednak trwałość ta jest wyraźnie niższa na terenach wiejskich (82%). Ich trwałość w Województwie Podkarpackim oszacowano na poziomie 67% - tylko w trzech innych regionach była ona niższa; [w:] </w:t>
      </w:r>
      <w:r>
        <w:rPr>
          <w:i/>
          <w:sz w:val="18"/>
          <w:szCs w:val="18"/>
        </w:rPr>
        <w:t>Ocena ośrodków wychowania przedszkolnego, utworzonych lub wspartych ze środków finansowych EFS w ramach Poddziałania 9.1.1 PO KL</w:t>
      </w:r>
      <w:r>
        <w:rPr>
          <w:sz w:val="18"/>
          <w:szCs w:val="18"/>
        </w:rPr>
        <w:t xml:space="preserve">¸ Ośrodek Ewaluacji dla MRR, Warszawa 2012, </w:t>
      </w:r>
    </w:p>
  </w:footnote>
  <w:footnote w:id="111">
    <w:p w:rsidR="00832320" w:rsidRDefault="00832320" w:rsidP="00BC2878">
      <w:pPr>
        <w:pStyle w:val="Tekstprzypisudolnego"/>
        <w:rPr>
          <w:sz w:val="18"/>
          <w:szCs w:val="18"/>
        </w:rPr>
      </w:pPr>
      <w:r>
        <w:rPr>
          <w:rStyle w:val="Odwoanieprzypisudolnego"/>
          <w:sz w:val="18"/>
          <w:szCs w:val="18"/>
        </w:rPr>
        <w:footnoteRef/>
      </w:r>
      <w:r>
        <w:rPr>
          <w:sz w:val="18"/>
          <w:szCs w:val="18"/>
        </w:rPr>
        <w:t xml:space="preserve"> Zwracają na to uwagę eksperci międzynarodowi, np. z Danii (MetteNorholm, </w:t>
      </w:r>
      <w:r>
        <w:rPr>
          <w:i/>
          <w:iCs/>
          <w:sz w:val="18"/>
          <w:szCs w:val="18"/>
        </w:rPr>
        <w:t>Education and traning for the low-skills in Denmark</w:t>
      </w:r>
      <w:r>
        <w:rPr>
          <w:sz w:val="18"/>
          <w:szCs w:val="18"/>
        </w:rPr>
        <w:t xml:space="preserve">: </w:t>
      </w:r>
      <w:r w:rsidRPr="007C612D">
        <w:rPr>
          <w:i/>
          <w:sz w:val="18"/>
          <w:szCs w:val="18"/>
        </w:rPr>
        <w:t>linking public policy to workplaceneeds and practice</w:t>
      </w:r>
      <w:r>
        <w:rPr>
          <w:sz w:val="18"/>
          <w:szCs w:val="18"/>
        </w:rPr>
        <w:t xml:space="preserve">, [w:] </w:t>
      </w:r>
      <w:r w:rsidRPr="007C612D">
        <w:rPr>
          <w:i/>
          <w:sz w:val="18"/>
          <w:szCs w:val="18"/>
        </w:rPr>
        <w:t>Skills Upgrading – new policy perspectives</w:t>
      </w:r>
      <w:r>
        <w:rPr>
          <w:sz w:val="18"/>
          <w:szCs w:val="18"/>
        </w:rPr>
        <w:t xml:space="preserve">, OECD); świadczą o tym także doświadczenia Polski z efektywności szkoleń dofinansowanych z PO KL w latach 2007-2013. </w:t>
      </w:r>
    </w:p>
  </w:footnote>
  <w:footnote w:id="112">
    <w:p w:rsidR="00832320" w:rsidRDefault="00832320" w:rsidP="00424449">
      <w:pPr>
        <w:pStyle w:val="Tekstprzypisudolnego"/>
        <w:rPr>
          <w:sz w:val="18"/>
          <w:szCs w:val="18"/>
        </w:rPr>
      </w:pPr>
      <w:r>
        <w:rPr>
          <w:rStyle w:val="Odwoanieprzypisudolnego"/>
          <w:sz w:val="18"/>
          <w:szCs w:val="18"/>
        </w:rPr>
        <w:footnoteRef/>
      </w:r>
      <w:r>
        <w:rPr>
          <w:sz w:val="18"/>
          <w:szCs w:val="18"/>
        </w:rPr>
        <w:t xml:space="preserve">J. Szut, </w:t>
      </w:r>
      <w:r>
        <w:rPr>
          <w:i/>
          <w:iCs/>
          <w:sz w:val="18"/>
          <w:szCs w:val="18"/>
        </w:rPr>
        <w:t>Kim są pracownicy o niskich kwalifikacjach?,</w:t>
      </w:r>
      <w:r>
        <w:rPr>
          <w:sz w:val="18"/>
          <w:szCs w:val="18"/>
        </w:rPr>
        <w:t xml:space="preserve"> Prezentacja wyników badania zrealizowanego przez Pentor RI na zlecenie PARP, 2010; próba 1290 pracodawców. </w:t>
      </w:r>
    </w:p>
  </w:footnote>
  <w:footnote w:id="113">
    <w:p w:rsidR="00832320" w:rsidRDefault="00832320" w:rsidP="00424449">
      <w:pPr>
        <w:pStyle w:val="Tekstprzypisudolnego"/>
        <w:rPr>
          <w:sz w:val="18"/>
          <w:szCs w:val="18"/>
        </w:rPr>
      </w:pPr>
      <w:r>
        <w:rPr>
          <w:rStyle w:val="Odwoanieprzypisudolnego"/>
          <w:sz w:val="18"/>
          <w:szCs w:val="18"/>
        </w:rPr>
        <w:footnoteRef/>
      </w:r>
      <w:r>
        <w:rPr>
          <w:sz w:val="18"/>
          <w:szCs w:val="18"/>
        </w:rPr>
        <w:t xml:space="preserve"> Sugeruje się w tym celu w ramach instrukcji wypełniania wniosku o dofinansowania wymagania, by potencjalni Beneficjenci uzasadniali potrzebę realizacji projektu w oparciu o potrzeby runku pracy, w drugiej kolejności zaś – potencjalnych uczestników [w:] </w:t>
      </w:r>
      <w:r>
        <w:rPr>
          <w:i/>
          <w:iCs/>
          <w:sz w:val="18"/>
          <w:szCs w:val="18"/>
        </w:rPr>
        <w:t>Ocena interwencji PO KL w zakresie kształcenia ustawicznego w województwie wielkopolskim</w:t>
      </w:r>
      <w:r>
        <w:rPr>
          <w:sz w:val="18"/>
          <w:szCs w:val="18"/>
        </w:rPr>
        <w:t>, Centrum Badań Stosowanych, Poznań 2012.</w:t>
      </w:r>
    </w:p>
  </w:footnote>
  <w:footnote w:id="114">
    <w:p w:rsidR="00832320" w:rsidRDefault="00832320" w:rsidP="00BC2878">
      <w:pPr>
        <w:pStyle w:val="Tekstprzypisudolnego"/>
        <w:rPr>
          <w:sz w:val="18"/>
          <w:szCs w:val="18"/>
        </w:rPr>
      </w:pPr>
      <w:r>
        <w:rPr>
          <w:rStyle w:val="Odwoanieprzypisudolnego"/>
          <w:sz w:val="18"/>
          <w:szCs w:val="18"/>
        </w:rPr>
        <w:footnoteRef/>
      </w:r>
      <w:r>
        <w:rPr>
          <w:i/>
          <w:iCs/>
          <w:sz w:val="18"/>
          <w:szCs w:val="18"/>
        </w:rPr>
        <w:t>Ocena interwencji PO KL w zakresie kształcenia ustawicznego w województwie wielkopolskim</w:t>
      </w:r>
      <w:r>
        <w:rPr>
          <w:sz w:val="18"/>
          <w:szCs w:val="18"/>
        </w:rPr>
        <w:t xml:space="preserve">, Centrum Badań Stosowanych, Poznań 2012, </w:t>
      </w:r>
    </w:p>
  </w:footnote>
  <w:footnote w:id="115">
    <w:p w:rsidR="00832320" w:rsidRDefault="00832320" w:rsidP="00424449">
      <w:pPr>
        <w:pStyle w:val="Tekstprzypisudolnego"/>
        <w:rPr>
          <w:sz w:val="18"/>
          <w:szCs w:val="18"/>
        </w:rPr>
      </w:pPr>
      <w:r>
        <w:rPr>
          <w:rStyle w:val="Odwoanieprzypisudolnego"/>
          <w:sz w:val="18"/>
          <w:szCs w:val="18"/>
        </w:rPr>
        <w:footnoteRef/>
      </w:r>
      <w:r>
        <w:rPr>
          <w:sz w:val="18"/>
          <w:szCs w:val="18"/>
        </w:rPr>
        <w:t xml:space="preserve"> Projekt systemowy </w:t>
      </w:r>
      <w:r>
        <w:rPr>
          <w:i/>
          <w:sz w:val="18"/>
          <w:szCs w:val="18"/>
        </w:rPr>
        <w:t>Szkoła zawodowa szkoła pozytywnego wyboru</w:t>
      </w:r>
      <w:r>
        <w:rPr>
          <w:sz w:val="18"/>
          <w:szCs w:val="18"/>
        </w:rPr>
        <w:t>, Ministerstwo Edukacji Narodowej, http://efs.men.gov.pl/images/Zbiorcze/rozwoj%20szkol_www.pdf, s. 31, 21.01.2012.</w:t>
      </w:r>
    </w:p>
  </w:footnote>
  <w:footnote w:id="116">
    <w:p w:rsidR="00832320" w:rsidRDefault="00832320" w:rsidP="00424449">
      <w:pPr>
        <w:pStyle w:val="Tekstprzypisudolnego"/>
        <w:spacing w:line="276" w:lineRule="auto"/>
        <w:rPr>
          <w:sz w:val="18"/>
          <w:szCs w:val="18"/>
        </w:rPr>
      </w:pPr>
      <w:r>
        <w:rPr>
          <w:rStyle w:val="Odwoanieprzypisudolnego"/>
          <w:sz w:val="18"/>
          <w:szCs w:val="18"/>
        </w:rPr>
        <w:footnoteRef/>
      </w:r>
      <w:r>
        <w:rPr>
          <w:i/>
          <w:sz w:val="18"/>
          <w:szCs w:val="18"/>
        </w:rPr>
        <w:t>Praktyka czyni mistrza - Społeczne konteksty szkolnictwa zawodowego</w:t>
      </w:r>
      <w:r>
        <w:rPr>
          <w:sz w:val="18"/>
          <w:szCs w:val="18"/>
        </w:rPr>
        <w:t xml:space="preserve">, Państwowy Instytut Naukowy – Instytut Śląski w Opolu, Stowarzyszenie Instytut Śląski, Opole 2009, s. 184.; B. Leszczyńska, B.Plawgo, B.Rokicki, I. Wolińska, M., Skarzyński, J. Żynel-Etel, B. Płonka, B. (2011). </w:t>
      </w:r>
      <w:r>
        <w:rPr>
          <w:bCs/>
          <w:i/>
          <w:sz w:val="18"/>
          <w:szCs w:val="18"/>
        </w:rPr>
        <w:t>Diagnoza stanu kształcenia zawodowego i potrzeb w zakresie modernizacji oferty kształcenia dotyczących efektywności i adekwatności kształcenia przez szkoły zawodowe w kontekście potrzeb regionalnego rynku pracy.</w:t>
      </w:r>
      <w:r>
        <w:rPr>
          <w:bCs/>
          <w:sz w:val="18"/>
          <w:szCs w:val="18"/>
        </w:rPr>
        <w:t xml:space="preserve"> </w:t>
      </w:r>
      <w:r>
        <w:rPr>
          <w:sz w:val="18"/>
          <w:szCs w:val="18"/>
        </w:rPr>
        <w:t>Wojewódzki Urząd Pracy w Białymstoku.</w:t>
      </w:r>
    </w:p>
  </w:footnote>
  <w:footnote w:id="117">
    <w:p w:rsidR="00832320" w:rsidRDefault="00832320" w:rsidP="00424449">
      <w:pPr>
        <w:pStyle w:val="Tekstprzypisudolnego"/>
        <w:rPr>
          <w:sz w:val="18"/>
          <w:szCs w:val="18"/>
        </w:rPr>
      </w:pPr>
      <w:r>
        <w:rPr>
          <w:rStyle w:val="Odwoanieprzypisudolnego"/>
          <w:sz w:val="18"/>
          <w:szCs w:val="18"/>
        </w:rPr>
        <w:footnoteRef/>
      </w:r>
      <w:r>
        <w:rPr>
          <w:sz w:val="18"/>
          <w:szCs w:val="18"/>
        </w:rPr>
        <w:t xml:space="preserve"> Zachęcamy do czerpania z publikacji: </w:t>
      </w:r>
      <w:r>
        <w:rPr>
          <w:i/>
          <w:iCs/>
          <w:sz w:val="18"/>
          <w:szCs w:val="18"/>
        </w:rPr>
        <w:t>Współpraca szkół zawodowych z pracodawcami – przykładowe rozwiązania</w:t>
      </w:r>
      <w:r>
        <w:rPr>
          <w:sz w:val="18"/>
          <w:szCs w:val="18"/>
        </w:rPr>
        <w:t xml:space="preserve">, KOWEZiU, Warszawa 2013. </w:t>
      </w:r>
    </w:p>
  </w:footnote>
  <w:footnote w:id="118">
    <w:p w:rsidR="00832320" w:rsidRDefault="00832320" w:rsidP="00BC2878">
      <w:pPr>
        <w:pStyle w:val="Tekstprzypisudolnego"/>
        <w:rPr>
          <w:sz w:val="18"/>
          <w:szCs w:val="18"/>
        </w:rPr>
      </w:pPr>
      <w:r>
        <w:rPr>
          <w:rStyle w:val="Odwoanieprzypisudolnego"/>
          <w:sz w:val="18"/>
          <w:szCs w:val="18"/>
        </w:rPr>
        <w:footnoteRef/>
      </w:r>
      <w:r>
        <w:rPr>
          <w:i/>
          <w:iCs/>
          <w:sz w:val="18"/>
          <w:szCs w:val="18"/>
        </w:rPr>
        <w:t xml:space="preserve">Towarzyszyć temu powinien wzrost efektywności nauczania na wcześniejszych jego etapach. Na wszystkich szczeblach edukacji rozwijane będą kompetencje matematyczne i przyrodnicze, inwencja i umiejętności poszukiwania samodzielnych rozwiązań; kształtowane będą nawyki współpracy(…) </w:t>
      </w:r>
      <w:r>
        <w:rPr>
          <w:sz w:val="18"/>
          <w:szCs w:val="18"/>
        </w:rPr>
        <w:t xml:space="preserve">[w:] </w:t>
      </w:r>
      <w:r w:rsidRPr="00CD48C4">
        <w:rPr>
          <w:i/>
          <w:sz w:val="18"/>
          <w:szCs w:val="18"/>
        </w:rPr>
        <w:t>Strategia Rozwoju Kraju do roku 2020</w:t>
      </w:r>
      <w:r>
        <w:rPr>
          <w:sz w:val="18"/>
          <w:szCs w:val="18"/>
        </w:rPr>
        <w:t>, s. 73.</w:t>
      </w:r>
    </w:p>
  </w:footnote>
  <w:footnote w:id="119">
    <w:p w:rsidR="00832320" w:rsidRDefault="00832320" w:rsidP="00BC2878">
      <w:pPr>
        <w:pStyle w:val="Tekstprzypisudolnego"/>
        <w:spacing w:line="276" w:lineRule="auto"/>
        <w:rPr>
          <w:sz w:val="18"/>
          <w:szCs w:val="18"/>
        </w:rPr>
      </w:pPr>
      <w:r>
        <w:rPr>
          <w:rStyle w:val="Odwoanieprzypisudolnego"/>
          <w:sz w:val="18"/>
          <w:szCs w:val="18"/>
        </w:rPr>
        <w:footnoteRef/>
      </w:r>
      <w:r>
        <w:rPr>
          <w:i/>
          <w:iCs/>
          <w:sz w:val="18"/>
          <w:szCs w:val="18"/>
        </w:rPr>
        <w:t>Strategia Rozwoju Kraju do roku 2020</w:t>
      </w:r>
      <w:r>
        <w:rPr>
          <w:sz w:val="18"/>
          <w:szCs w:val="18"/>
        </w:rPr>
        <w:t>…, s. 81.</w:t>
      </w:r>
    </w:p>
  </w:footnote>
  <w:footnote w:id="120">
    <w:p w:rsidR="00832320" w:rsidRDefault="00832320" w:rsidP="002B679A">
      <w:pPr>
        <w:pStyle w:val="Tekstprzypisudolnego"/>
      </w:pPr>
      <w:r>
        <w:rPr>
          <w:rStyle w:val="Odwoanieprzypisudolnego"/>
        </w:rPr>
        <w:footnoteRef/>
      </w:r>
      <w:r>
        <w:t xml:space="preserve"> </w:t>
      </w:r>
      <w:r w:rsidRPr="006D1CDE">
        <w:rPr>
          <w:i/>
        </w:rPr>
        <w:t>Potencjał administracyjny systemu instytucjonalnego Narodowych Strategicznych Ram Odniesienia na lata 2007 – 2013 (stan na 30 czerwca 2013 r.)</w:t>
      </w:r>
      <w:r>
        <w:t>, MIR, Warszawa 2014</w:t>
      </w:r>
    </w:p>
  </w:footnote>
  <w:footnote w:id="121">
    <w:p w:rsidR="00832320" w:rsidRDefault="00832320" w:rsidP="002B679A">
      <w:pPr>
        <w:pStyle w:val="Tekstprzypisudolnego"/>
      </w:pPr>
      <w:r>
        <w:rPr>
          <w:rStyle w:val="Odwoanieprzypisudolnego"/>
        </w:rPr>
        <w:footnoteRef/>
      </w:r>
      <w:r>
        <w:t xml:space="preserve"> </w:t>
      </w:r>
      <w:r w:rsidRPr="006D1CDE">
        <w:rPr>
          <w:i/>
        </w:rPr>
        <w:t>Potencjał administracyjny</w:t>
      </w:r>
      <w:r>
        <w:rPr>
          <w:i/>
        </w:rPr>
        <w:t>…</w:t>
      </w:r>
    </w:p>
  </w:footnote>
  <w:footnote w:id="122">
    <w:p w:rsidR="00832320" w:rsidRPr="006109F1" w:rsidRDefault="00832320" w:rsidP="002B679A">
      <w:pPr>
        <w:pStyle w:val="Tekstprzypisudolnego"/>
      </w:pPr>
      <w:r>
        <w:rPr>
          <w:rStyle w:val="Odwoanieprzypisudolnego"/>
        </w:rPr>
        <w:footnoteRef/>
      </w:r>
      <w:r>
        <w:t xml:space="preserve"> </w:t>
      </w:r>
      <w:r w:rsidRPr="006109F1">
        <w:rPr>
          <w:i/>
        </w:rPr>
        <w:t>Analiza sprawności przepływów finansowych w ramach Regionalnego Programu Operacyjnego Województwa Podkarpackiego na lata 2007-2013</w:t>
      </w:r>
      <w:r>
        <w:rPr>
          <w:i/>
        </w:rPr>
        <w:t xml:space="preserve">, </w:t>
      </w:r>
      <w:r>
        <w:t>PSDB na zlecenie UMWP, Warszawa 2009</w:t>
      </w:r>
    </w:p>
  </w:footnote>
  <w:footnote w:id="123">
    <w:p w:rsidR="00832320" w:rsidRDefault="00832320" w:rsidP="002B679A">
      <w:pPr>
        <w:pStyle w:val="Tekstprzypisudolnego"/>
      </w:pPr>
      <w:r>
        <w:rPr>
          <w:rStyle w:val="Odwoanieprzypisudolnego"/>
        </w:rPr>
        <w:footnoteRef/>
      </w:r>
      <w:r>
        <w:t xml:space="preserve"> </w:t>
      </w:r>
      <w:r w:rsidRPr="006109F1">
        <w:rPr>
          <w:i/>
        </w:rPr>
        <w:t>Analiza sprawności</w:t>
      </w:r>
      <w:r>
        <w:rPr>
          <w:i/>
        </w:rPr>
        <w:t>…</w:t>
      </w:r>
    </w:p>
  </w:footnote>
  <w:footnote w:id="124">
    <w:p w:rsidR="00832320" w:rsidRDefault="00832320" w:rsidP="002B679A">
      <w:pPr>
        <w:pStyle w:val="Tekstprzypisudolnego"/>
      </w:pPr>
      <w:r>
        <w:rPr>
          <w:rStyle w:val="Odwoanieprzypisudolnego"/>
        </w:rPr>
        <w:footnoteRef/>
      </w:r>
      <w:r>
        <w:t xml:space="preserve"> Przyjęte rozwiązania muszą być spójne z WLWK. Dokument ten należy postrzegać jako uszczegółowienie WLWK. </w:t>
      </w:r>
    </w:p>
  </w:footnote>
  <w:footnote w:id="125">
    <w:p w:rsidR="00832320" w:rsidRDefault="00832320" w:rsidP="002B679A">
      <w:pPr>
        <w:pStyle w:val="Tekstprzypisudolnego"/>
      </w:pPr>
      <w:r>
        <w:rPr>
          <w:rStyle w:val="Odwoanieprzypisudolnego"/>
        </w:rPr>
        <w:footnoteRef/>
      </w:r>
      <w:r>
        <w:t xml:space="preserve"> </w:t>
      </w:r>
      <w:r w:rsidRPr="006109F1">
        <w:rPr>
          <w:i/>
        </w:rPr>
        <w:t>Analiza sprawności</w:t>
      </w:r>
      <w:r>
        <w:rPr>
          <w:i/>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22615B">
    <w:pPr>
      <w:pStyle w:val="Nagwek"/>
      <w:jc w:val="center"/>
    </w:pPr>
    <w:r>
      <w:rPr>
        <w:noProof/>
        <w:lang w:eastAsia="pl-PL"/>
      </w:rPr>
      <w:pict>
        <v:line id="Line 6" o:spid="_x0000_s4126" style="position:absolute;left:0;text-align:left;z-index:251703296;visibility:visible;mso-wrap-distance-top:-1e-4mm;mso-wrap-distance-bottom:-1e-4mm;mso-width-relative:margin" from="-97.35pt,39.25pt" to="783.6pt,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" strokecolor="#1f497d" strokeweight=".5pt">
          <o:lock v:ext="edit" shapetype="f"/>
        </v:line>
      </w:pict>
    </w:r>
    <w:r>
      <w:rPr>
        <w:noProof/>
        <w:lang w:eastAsia="pl-PL"/>
      </w:rPr>
      <w:pict>
        <v:line id="Line 5" o:spid="_x0000_s4125" style="position:absolute;left:0;text-align:left;z-index:251702272;visibility:visible;mso-wrap-distance-top:-1e-4mm;mso-wrap-distance-bottom:-1e-4mm;mso-width-relative:margin" from="-104.85pt,35.15pt" to="783.6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" strokecolor="#1f497d" strokeweight="1.75pt">
          <o:lock v:ext="edit" shapetype="f"/>
        </v:line>
      </w:pict>
    </w:r>
    <w:r w:rsidR="00832320">
      <w:rPr>
        <w:noProof/>
        <w:lang w:eastAsia="pl-PL"/>
      </w:rPr>
      <w:drawing>
        <wp:anchor distT="0" distB="0" distL="114300" distR="114300" simplePos="0" relativeHeight="251673600" behindDoc="1" locked="0" layoutInCell="1" allowOverlap="1">
          <wp:simplePos x="0" y="0"/>
          <wp:positionH relativeFrom="column">
            <wp:posOffset>990600</wp:posOffset>
          </wp:positionH>
          <wp:positionV relativeFrom="paragraph">
            <wp:posOffset>-259080</wp:posOffset>
          </wp:positionV>
          <wp:extent cx="1938655" cy="581025"/>
          <wp:effectExtent l="0" t="0" r="0" b="0"/>
          <wp:wrapNone/>
          <wp:docPr id="4" name="Obraz 32" descr="C:\Users\Andrzej\Desktop\ScreenHunter_01 Jan. 25 06.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ndrzej\Desktop\ScreenHunter_01 Jan. 25 06.15.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8655" cy="581025"/>
                  </a:xfrm>
                  <a:prstGeom prst="rect">
                    <a:avLst/>
                  </a:prstGeom>
                  <a:noFill/>
                  <a:ln>
                    <a:noFill/>
                  </a:ln>
                </pic:spPr>
              </pic:pic>
            </a:graphicData>
          </a:graphic>
        </wp:anchor>
      </w:drawing>
    </w:r>
    <w:r w:rsidR="00832320" w:rsidRPr="007B74A8">
      <w:rPr>
        <w:noProof/>
        <w:sz w:val="44"/>
        <w:szCs w:val="44"/>
        <w:lang w:eastAsia="pl-PL"/>
      </w:rPr>
      <w:drawing>
        <wp:anchor distT="0" distB="0" distL="114300" distR="114300" simplePos="0" relativeHeight="251684864" behindDoc="0" locked="0" layoutInCell="1" allowOverlap="1">
          <wp:simplePos x="0" y="0"/>
          <wp:positionH relativeFrom="column">
            <wp:posOffset>2871470</wp:posOffset>
          </wp:positionH>
          <wp:positionV relativeFrom="paragraph">
            <wp:posOffset>-255905</wp:posOffset>
          </wp:positionV>
          <wp:extent cx="1466850" cy="596265"/>
          <wp:effectExtent l="0" t="0" r="0" b="0"/>
          <wp:wrapSquare wrapText="bothSides"/>
          <wp:docPr id="2" name="Obraz 2" descr="C:\Users\Andrzej\Desktop\LogoCoffeyIDE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drzej\Desktop\LogoCoffeyIDEV3.jpg"/>
                  <pic:cNvPicPr>
                    <a:picLocks noChangeAspect="1" noChangeArrowheads="1"/>
                  </pic:cNvPicPr>
                </pic:nvPicPr>
                <pic:blipFill>
                  <a:blip r:embed="rId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850" cy="596265"/>
                  </a:xfrm>
                  <a:prstGeom prst="rect">
                    <a:avLst/>
                  </a:prstGeom>
                  <a:noFill/>
                  <a:ln>
                    <a:noFill/>
                  </a:ln>
                </pic:spPr>
              </pic:pic>
            </a:graphicData>
          </a:graphic>
        </wp:anchor>
      </w:drawing>
    </w:r>
    <w:r>
      <w:rPr>
        <w:noProof/>
        <w:lang w:eastAsia="pl-PL"/>
      </w:rPr>
      <w:pict>
        <v:line id="Łącznik prostoliniowy 3" o:spid="_x0000_s4124" style="position:absolute;left:0;text-align:left;z-index:251668480;visibility:visible;mso-wrap-distance-top:-1e-4mm;mso-wrap-distance-bottom:-1e-4mm;mso-position-horizontal-relative:text;mso-position-vertical-relative:text;mso-width-relative:margin" from="-97.35pt,39.25pt" to="783.6pt,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" strokecolor="#1f497d [3215]" strokeweight=".5pt">
          <o:lock v:ext="edit" shapetype="f"/>
        </v:line>
      </w:pict>
    </w:r>
    <w:r>
      <w:rPr>
        <w:noProof/>
        <w:lang w:eastAsia="pl-PL"/>
      </w:rPr>
      <w:pict>
        <v:line id="Łącznik prostoliniowy 5" o:spid="_x0000_s4123" style="position:absolute;left:0;text-align:left;z-index:251667456;visibility:visible;mso-wrap-distance-top:-1e-4mm;mso-wrap-distance-bottom:-1e-4mm;mso-position-horizontal-relative:text;mso-position-vertical-relative:text;mso-width-relative:margin" from="-104.85pt,35.15pt" to="783.6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" strokecolor="#1f497d [3215]" strokeweight="1.75pt">
          <o:lock v:ext="edit" shapetype="f"/>
        </v:lin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2320" w:rsidRDefault="001B04AC" w:rsidP="008B0D93">
    <w:pPr>
      <w:pStyle w:val="Nagwek"/>
      <w:jc w:val="center"/>
    </w:pPr>
    <w:r>
      <w:rPr>
        <w:noProof/>
        <w:lang w:eastAsia="pl-PL"/>
      </w:rPr>
      <w:pict>
        <v:line id="_x0000_s4122" style="position:absolute;left:0;text-align:left;z-index:251736064;visibility:visible;mso-wrap-distance-top:-1e-4mm;mso-wrap-distance-bottom:-1e-4mm;mso-width-relative:margin" from="-97.35pt,39.25pt" to="783.6pt,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" strokecolor="#1f497d" strokeweight=".5pt">
          <o:lock v:ext="edit" shapetype="f"/>
        </v:line>
      </w:pict>
    </w:r>
    <w:r>
      <w:rPr>
        <w:noProof/>
        <w:lang w:eastAsia="pl-PL"/>
      </w:rPr>
      <w:pict>
        <v:line id="_x0000_s4121" style="position:absolute;left:0;text-align:left;z-index:251735040;visibility:visible;mso-wrap-distance-top:-1e-4mm;mso-wrap-distance-bottom:-1e-4mm;mso-width-relative:margin" from="-104.85pt,35.15pt" to="783.6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" strokecolor="#1f497d" strokeweight="1.75pt">
          <o:lock v:ext="edit" shapetype="f"/>
        </v:line>
      </w:pict>
    </w:r>
    <w:r>
      <w:rPr>
        <w:noProof/>
        <w:lang w:eastAsia="pl-PL"/>
      </w:rPr>
      <w:pict>
        <v:line id="_x0000_s4120" style="position:absolute;left:0;text-align:left;z-index:251734016;visibility:visible;mso-wrap-distance-top:-1e-4mm;mso-wrap-distance-bottom:-1e-4mm;mso-width-relative:margin" from="-97.35pt,39.25pt" to="783.6pt,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" strokecolor="#1f497d" strokeweight=".5pt">
          <o:lock v:ext="edit" shapetype="f"/>
        </v:line>
      </w:pict>
    </w:r>
    <w:r>
      <w:rPr>
        <w:noProof/>
        <w:lang w:eastAsia="pl-PL"/>
      </w:rPr>
      <w:pict>
        <v:line id="_x0000_s4119" style="position:absolute;left:0;text-align:left;z-index:251732992;visibility:visible;mso-wrap-distance-top:-1e-4mm;mso-wrap-distance-bottom:-1e-4mm;mso-width-relative:margin" from="-104.85pt,35.15pt" to="783.6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" strokecolor="#1f497d" strokeweight="1.75pt">
          <o:lock v:ext="edit" shapetype="f"/>
        </v:line>
      </w:pict>
    </w:r>
    <w:r w:rsidR="00832320">
      <w:rPr>
        <w:noProof/>
        <w:lang w:eastAsia="pl-PL"/>
      </w:rPr>
      <w:drawing>
        <wp:anchor distT="0" distB="0" distL="114300" distR="114300" simplePos="0" relativeHeight="251730944" behindDoc="1" locked="0" layoutInCell="1" allowOverlap="1">
          <wp:simplePos x="0" y="0"/>
          <wp:positionH relativeFrom="column">
            <wp:posOffset>990600</wp:posOffset>
          </wp:positionH>
          <wp:positionV relativeFrom="paragraph">
            <wp:posOffset>-259080</wp:posOffset>
          </wp:positionV>
          <wp:extent cx="1938655" cy="581025"/>
          <wp:effectExtent l="0" t="0" r="0" b="0"/>
          <wp:wrapNone/>
          <wp:docPr id="927" name="Obraz 32" descr="C:\Users\Andrzej\Desktop\ScreenHunter_01 Jan. 25 06.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ndrzej\Desktop\ScreenHunter_01 Jan. 25 06.15.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8655" cy="581025"/>
                  </a:xfrm>
                  <a:prstGeom prst="rect">
                    <a:avLst/>
                  </a:prstGeom>
                  <a:noFill/>
                  <a:ln>
                    <a:noFill/>
                  </a:ln>
                </pic:spPr>
              </pic:pic>
            </a:graphicData>
          </a:graphic>
        </wp:anchor>
      </w:drawing>
    </w:r>
    <w:r w:rsidR="00832320" w:rsidRPr="00FB2632">
      <w:rPr>
        <w:noProof/>
        <w:sz w:val="44"/>
        <w:szCs w:val="44"/>
        <w:lang w:eastAsia="pl-PL"/>
      </w:rPr>
      <w:drawing>
        <wp:anchor distT="0" distB="0" distL="114300" distR="114300" simplePos="0" relativeHeight="251731968" behindDoc="0" locked="0" layoutInCell="1" allowOverlap="1">
          <wp:simplePos x="0" y="0"/>
          <wp:positionH relativeFrom="column">
            <wp:posOffset>2871470</wp:posOffset>
          </wp:positionH>
          <wp:positionV relativeFrom="paragraph">
            <wp:posOffset>-255905</wp:posOffset>
          </wp:positionV>
          <wp:extent cx="1466850" cy="596265"/>
          <wp:effectExtent l="0" t="0" r="0" b="0"/>
          <wp:wrapSquare wrapText="bothSides"/>
          <wp:docPr id="936" name="Obraz 936" descr="C:\Users\Andrzej\Desktop\LogoCoffeyIDE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drzej\Desktop\LogoCoffeyIDEV3.jpg"/>
                  <pic:cNvPicPr>
                    <a:picLocks noChangeAspect="1" noChangeArrowheads="1"/>
                  </pic:cNvPicPr>
                </pic:nvPicPr>
                <pic:blipFill>
                  <a:blip r:embed="rId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850" cy="596265"/>
                  </a:xfrm>
                  <a:prstGeom prst="rect">
                    <a:avLst/>
                  </a:prstGeom>
                  <a:noFill/>
                  <a:ln>
                    <a:noFill/>
                  </a:ln>
                </pic:spPr>
              </pic:pic>
            </a:graphicData>
          </a:graphic>
        </wp:anchor>
      </w:drawing>
    </w:r>
    <w:r>
      <w:rPr>
        <w:noProof/>
        <w:lang w:eastAsia="pl-PL"/>
      </w:rPr>
      <w:pict>
        <v:line id="_x0000_s4118" style="position:absolute;left:0;text-align:left;z-index:251729920;visibility:visible;mso-wrap-distance-top:-1e-4mm;mso-wrap-distance-bottom:-1e-4mm;mso-position-horizontal-relative:text;mso-position-vertical-relative:text;mso-width-relative:margin" from="-97.35pt,39.25pt" to="783.6pt,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" strokecolor="#1f497d [3215]" strokeweight=".5pt">
          <o:lock v:ext="edit" shapetype="f"/>
        </v:line>
      </w:pict>
    </w:r>
    <w:r>
      <w:rPr>
        <w:noProof/>
        <w:lang w:eastAsia="pl-PL"/>
      </w:rPr>
      <w:pict>
        <v:line id="_x0000_s4117" style="position:absolute;left:0;text-align:left;z-index:251728896;visibility:visible;mso-wrap-distance-top:-1e-4mm;mso-wrap-distance-bottom:-1e-4mm;mso-position-horizontal-relative:text;mso-position-vertical-relative:text;mso-width-relative:margin" from="-104.85pt,35.15pt" to="783.6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" strokecolor="#1f497d [3215]" strokeweight="1.75pt">
          <o:lock v:ext="edit" shapetype="f"/>
        </v:line>
      </w:pict>
    </w:r>
  </w:p>
  <w:p w:rsidR="00832320" w:rsidRDefault="00832320" w:rsidP="0022615B">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92BA634A"/>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nsid w:val="FFFFFF81"/>
    <w:multiLevelType w:val="singleLevel"/>
    <w:tmpl w:val="7B4C8200"/>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nsid w:val="FFFFFF82"/>
    <w:multiLevelType w:val="singleLevel"/>
    <w:tmpl w:val="7E760448"/>
    <w:lvl w:ilvl="0">
      <w:start w:val="1"/>
      <w:numFmt w:val="bullet"/>
      <w:pStyle w:val="Listapunktowana3"/>
      <w:lvlText w:val=""/>
      <w:lvlJc w:val="left"/>
      <w:pPr>
        <w:tabs>
          <w:tab w:val="num" w:pos="926"/>
        </w:tabs>
        <w:ind w:left="926" w:hanging="360"/>
      </w:pPr>
      <w:rPr>
        <w:rFonts w:ascii="Symbol" w:hAnsi="Symbol" w:hint="default"/>
      </w:rPr>
    </w:lvl>
  </w:abstractNum>
  <w:abstractNum w:abstractNumId="3">
    <w:nsid w:val="FFFFFF83"/>
    <w:multiLevelType w:val="singleLevel"/>
    <w:tmpl w:val="C9F2DE2E"/>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E0468386"/>
    <w:lvl w:ilvl="0">
      <w:start w:val="1"/>
      <w:numFmt w:val="bullet"/>
      <w:pStyle w:val="Listapunktowana"/>
      <w:lvlText w:val=""/>
      <w:lvlJc w:val="left"/>
      <w:pPr>
        <w:tabs>
          <w:tab w:val="num" w:pos="360"/>
        </w:tabs>
        <w:ind w:left="360" w:hanging="360"/>
      </w:pPr>
      <w:rPr>
        <w:rFonts w:ascii="Symbol" w:hAnsi="Symbol" w:hint="default"/>
      </w:rPr>
    </w:lvl>
  </w:abstractNum>
  <w:abstractNum w:abstractNumId="5">
    <w:nsid w:val="00000027"/>
    <w:multiLevelType w:val="multilevel"/>
    <w:tmpl w:val="00000027"/>
    <w:lvl w:ilvl="0">
      <w:start w:val="1"/>
      <w:numFmt w:val="none"/>
      <w:pStyle w:val="kreseczki"/>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6">
    <w:nsid w:val="00585734"/>
    <w:multiLevelType w:val="hybridMultilevel"/>
    <w:tmpl w:val="47341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11D7434"/>
    <w:multiLevelType w:val="hybridMultilevel"/>
    <w:tmpl w:val="9FCCDED4"/>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nsid w:val="02C86BE0"/>
    <w:multiLevelType w:val="hybridMultilevel"/>
    <w:tmpl w:val="60DE9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3C43378"/>
    <w:multiLevelType w:val="multilevel"/>
    <w:tmpl w:val="0415001D"/>
    <w:styleLink w:val="Styl5"/>
    <w:lvl w:ilvl="0">
      <w:start w:val="2"/>
      <w:numFmt w:val="decimal"/>
      <w:lvlText w:val="%1)"/>
      <w:lvlJc w:val="left"/>
      <w:pPr>
        <w:ind w:left="360" w:hanging="360"/>
      </w:pPr>
    </w:lvl>
    <w:lvl w:ilvl="1">
      <w:start w:val="2"/>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0478165C"/>
    <w:multiLevelType w:val="hybridMultilevel"/>
    <w:tmpl w:val="E0EC5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BA7EC9"/>
    <w:multiLevelType w:val="hybridMultilevel"/>
    <w:tmpl w:val="52448E88"/>
    <w:lvl w:ilvl="0" w:tplc="FDB001FC">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4E2744D"/>
    <w:multiLevelType w:val="hybridMultilevel"/>
    <w:tmpl w:val="DDF00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CDB4FE4"/>
    <w:multiLevelType w:val="hybridMultilevel"/>
    <w:tmpl w:val="4C3E6E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E0E523E"/>
    <w:multiLevelType w:val="hybridMultilevel"/>
    <w:tmpl w:val="93CCA160"/>
    <w:lvl w:ilvl="0" w:tplc="D7B85750">
      <w:start w:val="1"/>
      <w:numFmt w:val="bullet"/>
      <w:pStyle w:val="PPunkt11"/>
      <w:lvlText w:val=""/>
      <w:lvlJc w:val="left"/>
      <w:pPr>
        <w:tabs>
          <w:tab w:val="num" w:pos="340"/>
        </w:tabs>
        <w:ind w:left="340" w:hanging="340"/>
      </w:pPr>
      <w:rPr>
        <w:rFonts w:ascii="Symbol" w:hAnsi="Symbol" w:hint="default"/>
      </w:rPr>
    </w:lvl>
    <w:lvl w:ilvl="1" w:tplc="AEB837DA">
      <w:start w:val="1"/>
      <w:numFmt w:val="bullet"/>
      <w:lvlText w:val="o"/>
      <w:lvlJc w:val="left"/>
      <w:pPr>
        <w:tabs>
          <w:tab w:val="num" w:pos="1440"/>
        </w:tabs>
        <w:ind w:left="1440" w:hanging="360"/>
      </w:pPr>
      <w:rPr>
        <w:rFonts w:ascii="Courier New" w:hAnsi="Courier New" w:cs="Courier New" w:hint="default"/>
      </w:rPr>
    </w:lvl>
    <w:lvl w:ilvl="2" w:tplc="FA7C093A" w:tentative="1">
      <w:start w:val="1"/>
      <w:numFmt w:val="bullet"/>
      <w:lvlText w:val=""/>
      <w:lvlJc w:val="left"/>
      <w:pPr>
        <w:tabs>
          <w:tab w:val="num" w:pos="2160"/>
        </w:tabs>
        <w:ind w:left="2160" w:hanging="360"/>
      </w:pPr>
      <w:rPr>
        <w:rFonts w:ascii="Wingdings" w:hAnsi="Wingdings" w:hint="default"/>
      </w:rPr>
    </w:lvl>
    <w:lvl w:ilvl="3" w:tplc="60C6DF96" w:tentative="1">
      <w:start w:val="1"/>
      <w:numFmt w:val="bullet"/>
      <w:lvlText w:val=""/>
      <w:lvlJc w:val="left"/>
      <w:pPr>
        <w:tabs>
          <w:tab w:val="num" w:pos="2880"/>
        </w:tabs>
        <w:ind w:left="2880" w:hanging="360"/>
      </w:pPr>
      <w:rPr>
        <w:rFonts w:ascii="Symbol" w:hAnsi="Symbol" w:hint="default"/>
      </w:rPr>
    </w:lvl>
    <w:lvl w:ilvl="4" w:tplc="18F86638" w:tentative="1">
      <w:start w:val="1"/>
      <w:numFmt w:val="bullet"/>
      <w:lvlText w:val="o"/>
      <w:lvlJc w:val="left"/>
      <w:pPr>
        <w:tabs>
          <w:tab w:val="num" w:pos="3600"/>
        </w:tabs>
        <w:ind w:left="3600" w:hanging="360"/>
      </w:pPr>
      <w:rPr>
        <w:rFonts w:ascii="Courier New" w:hAnsi="Courier New" w:cs="Courier New" w:hint="default"/>
      </w:rPr>
    </w:lvl>
    <w:lvl w:ilvl="5" w:tplc="D5E8E760" w:tentative="1">
      <w:start w:val="1"/>
      <w:numFmt w:val="bullet"/>
      <w:lvlText w:val=""/>
      <w:lvlJc w:val="left"/>
      <w:pPr>
        <w:tabs>
          <w:tab w:val="num" w:pos="4320"/>
        </w:tabs>
        <w:ind w:left="4320" w:hanging="360"/>
      </w:pPr>
      <w:rPr>
        <w:rFonts w:ascii="Wingdings" w:hAnsi="Wingdings" w:hint="default"/>
      </w:rPr>
    </w:lvl>
    <w:lvl w:ilvl="6" w:tplc="E58A9FF4" w:tentative="1">
      <w:start w:val="1"/>
      <w:numFmt w:val="bullet"/>
      <w:lvlText w:val=""/>
      <w:lvlJc w:val="left"/>
      <w:pPr>
        <w:tabs>
          <w:tab w:val="num" w:pos="5040"/>
        </w:tabs>
        <w:ind w:left="5040" w:hanging="360"/>
      </w:pPr>
      <w:rPr>
        <w:rFonts w:ascii="Symbol" w:hAnsi="Symbol" w:hint="default"/>
      </w:rPr>
    </w:lvl>
    <w:lvl w:ilvl="7" w:tplc="EAA2D7FC" w:tentative="1">
      <w:start w:val="1"/>
      <w:numFmt w:val="bullet"/>
      <w:lvlText w:val="o"/>
      <w:lvlJc w:val="left"/>
      <w:pPr>
        <w:tabs>
          <w:tab w:val="num" w:pos="5760"/>
        </w:tabs>
        <w:ind w:left="5760" w:hanging="360"/>
      </w:pPr>
      <w:rPr>
        <w:rFonts w:ascii="Courier New" w:hAnsi="Courier New" w:cs="Courier New" w:hint="default"/>
      </w:rPr>
    </w:lvl>
    <w:lvl w:ilvl="8" w:tplc="9FF855F4" w:tentative="1">
      <w:start w:val="1"/>
      <w:numFmt w:val="bullet"/>
      <w:lvlText w:val=""/>
      <w:lvlJc w:val="left"/>
      <w:pPr>
        <w:tabs>
          <w:tab w:val="num" w:pos="6480"/>
        </w:tabs>
        <w:ind w:left="6480" w:hanging="360"/>
      </w:pPr>
      <w:rPr>
        <w:rFonts w:ascii="Wingdings" w:hAnsi="Wingdings" w:hint="default"/>
      </w:rPr>
    </w:lvl>
  </w:abstractNum>
  <w:abstractNum w:abstractNumId="15">
    <w:nsid w:val="0F0028F3"/>
    <w:multiLevelType w:val="hybridMultilevel"/>
    <w:tmpl w:val="446AFA3A"/>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F0B3AE3"/>
    <w:multiLevelType w:val="hybridMultilevel"/>
    <w:tmpl w:val="B096073A"/>
    <w:lvl w:ilvl="0" w:tplc="FDB001FC">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F4329E8"/>
    <w:multiLevelType w:val="hybridMultilevel"/>
    <w:tmpl w:val="EC38D3E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0397D8C"/>
    <w:multiLevelType w:val="hybridMultilevel"/>
    <w:tmpl w:val="88D00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0D45964"/>
    <w:multiLevelType w:val="hybridMultilevel"/>
    <w:tmpl w:val="474CAD56"/>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0D57D78"/>
    <w:multiLevelType w:val="hybridMultilevel"/>
    <w:tmpl w:val="76F8AD4E"/>
    <w:lvl w:ilvl="0" w:tplc="04150001">
      <w:start w:val="1"/>
      <w:numFmt w:val="bullet"/>
      <w:lvlText w:val=""/>
      <w:lvlJc w:val="left"/>
      <w:pPr>
        <w:ind w:left="1125" w:hanging="360"/>
      </w:pPr>
      <w:rPr>
        <w:rFonts w:ascii="Symbol" w:hAnsi="Symbol" w:hint="default"/>
      </w:rPr>
    </w:lvl>
    <w:lvl w:ilvl="1" w:tplc="04150003" w:tentative="1">
      <w:start w:val="1"/>
      <w:numFmt w:val="bullet"/>
      <w:lvlText w:val="o"/>
      <w:lvlJc w:val="left"/>
      <w:pPr>
        <w:ind w:left="1845" w:hanging="360"/>
      </w:pPr>
      <w:rPr>
        <w:rFonts w:ascii="Courier New" w:hAnsi="Courier New" w:cs="Courier New" w:hint="default"/>
      </w:rPr>
    </w:lvl>
    <w:lvl w:ilvl="2" w:tplc="04150005" w:tentative="1">
      <w:start w:val="1"/>
      <w:numFmt w:val="bullet"/>
      <w:lvlText w:val=""/>
      <w:lvlJc w:val="left"/>
      <w:pPr>
        <w:ind w:left="2565" w:hanging="360"/>
      </w:pPr>
      <w:rPr>
        <w:rFonts w:ascii="Wingdings" w:hAnsi="Wingdings" w:hint="default"/>
      </w:rPr>
    </w:lvl>
    <w:lvl w:ilvl="3" w:tplc="04150001" w:tentative="1">
      <w:start w:val="1"/>
      <w:numFmt w:val="bullet"/>
      <w:lvlText w:val=""/>
      <w:lvlJc w:val="left"/>
      <w:pPr>
        <w:ind w:left="3285" w:hanging="360"/>
      </w:pPr>
      <w:rPr>
        <w:rFonts w:ascii="Symbol" w:hAnsi="Symbol" w:hint="default"/>
      </w:rPr>
    </w:lvl>
    <w:lvl w:ilvl="4" w:tplc="04150003" w:tentative="1">
      <w:start w:val="1"/>
      <w:numFmt w:val="bullet"/>
      <w:lvlText w:val="o"/>
      <w:lvlJc w:val="left"/>
      <w:pPr>
        <w:ind w:left="4005" w:hanging="360"/>
      </w:pPr>
      <w:rPr>
        <w:rFonts w:ascii="Courier New" w:hAnsi="Courier New" w:cs="Courier New" w:hint="default"/>
      </w:rPr>
    </w:lvl>
    <w:lvl w:ilvl="5" w:tplc="04150005" w:tentative="1">
      <w:start w:val="1"/>
      <w:numFmt w:val="bullet"/>
      <w:lvlText w:val=""/>
      <w:lvlJc w:val="left"/>
      <w:pPr>
        <w:ind w:left="4725" w:hanging="360"/>
      </w:pPr>
      <w:rPr>
        <w:rFonts w:ascii="Wingdings" w:hAnsi="Wingdings" w:hint="default"/>
      </w:rPr>
    </w:lvl>
    <w:lvl w:ilvl="6" w:tplc="04150001" w:tentative="1">
      <w:start w:val="1"/>
      <w:numFmt w:val="bullet"/>
      <w:lvlText w:val=""/>
      <w:lvlJc w:val="left"/>
      <w:pPr>
        <w:ind w:left="5445" w:hanging="360"/>
      </w:pPr>
      <w:rPr>
        <w:rFonts w:ascii="Symbol" w:hAnsi="Symbol" w:hint="default"/>
      </w:rPr>
    </w:lvl>
    <w:lvl w:ilvl="7" w:tplc="04150003" w:tentative="1">
      <w:start w:val="1"/>
      <w:numFmt w:val="bullet"/>
      <w:lvlText w:val="o"/>
      <w:lvlJc w:val="left"/>
      <w:pPr>
        <w:ind w:left="6165" w:hanging="360"/>
      </w:pPr>
      <w:rPr>
        <w:rFonts w:ascii="Courier New" w:hAnsi="Courier New" w:cs="Courier New" w:hint="default"/>
      </w:rPr>
    </w:lvl>
    <w:lvl w:ilvl="8" w:tplc="04150005" w:tentative="1">
      <w:start w:val="1"/>
      <w:numFmt w:val="bullet"/>
      <w:lvlText w:val=""/>
      <w:lvlJc w:val="left"/>
      <w:pPr>
        <w:ind w:left="6885" w:hanging="360"/>
      </w:pPr>
      <w:rPr>
        <w:rFonts w:ascii="Wingdings" w:hAnsi="Wingdings" w:hint="default"/>
      </w:rPr>
    </w:lvl>
  </w:abstractNum>
  <w:abstractNum w:abstractNumId="21">
    <w:nsid w:val="111D2F7D"/>
    <w:multiLevelType w:val="hybridMultilevel"/>
    <w:tmpl w:val="189C7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1A16ED8"/>
    <w:multiLevelType w:val="hybridMultilevel"/>
    <w:tmpl w:val="2604BB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46754DE"/>
    <w:multiLevelType w:val="hybridMultilevel"/>
    <w:tmpl w:val="29784E6A"/>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nsid w:val="14B3550F"/>
    <w:multiLevelType w:val="hybridMultilevel"/>
    <w:tmpl w:val="D376CEB0"/>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4D439F8"/>
    <w:multiLevelType w:val="hybridMultilevel"/>
    <w:tmpl w:val="1C8A3A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6AE43FC"/>
    <w:multiLevelType w:val="hybridMultilevel"/>
    <w:tmpl w:val="B0E486AA"/>
    <w:lvl w:ilvl="0" w:tplc="04150001">
      <w:start w:val="1"/>
      <w:numFmt w:val="bullet"/>
      <w:lvlText w:val=""/>
      <w:lvlJc w:val="left"/>
      <w:pPr>
        <w:ind w:left="1125" w:hanging="360"/>
      </w:pPr>
      <w:rPr>
        <w:rFonts w:ascii="Symbol" w:hAnsi="Symbol" w:hint="default"/>
      </w:rPr>
    </w:lvl>
    <w:lvl w:ilvl="1" w:tplc="04150003" w:tentative="1">
      <w:start w:val="1"/>
      <w:numFmt w:val="bullet"/>
      <w:lvlText w:val="o"/>
      <w:lvlJc w:val="left"/>
      <w:pPr>
        <w:ind w:left="1845" w:hanging="360"/>
      </w:pPr>
      <w:rPr>
        <w:rFonts w:ascii="Courier New" w:hAnsi="Courier New" w:cs="Courier New" w:hint="default"/>
      </w:rPr>
    </w:lvl>
    <w:lvl w:ilvl="2" w:tplc="04150005" w:tentative="1">
      <w:start w:val="1"/>
      <w:numFmt w:val="bullet"/>
      <w:lvlText w:val=""/>
      <w:lvlJc w:val="left"/>
      <w:pPr>
        <w:ind w:left="2565" w:hanging="360"/>
      </w:pPr>
      <w:rPr>
        <w:rFonts w:ascii="Wingdings" w:hAnsi="Wingdings" w:hint="default"/>
      </w:rPr>
    </w:lvl>
    <w:lvl w:ilvl="3" w:tplc="04150001" w:tentative="1">
      <w:start w:val="1"/>
      <w:numFmt w:val="bullet"/>
      <w:lvlText w:val=""/>
      <w:lvlJc w:val="left"/>
      <w:pPr>
        <w:ind w:left="3285" w:hanging="360"/>
      </w:pPr>
      <w:rPr>
        <w:rFonts w:ascii="Symbol" w:hAnsi="Symbol" w:hint="default"/>
      </w:rPr>
    </w:lvl>
    <w:lvl w:ilvl="4" w:tplc="04150003" w:tentative="1">
      <w:start w:val="1"/>
      <w:numFmt w:val="bullet"/>
      <w:lvlText w:val="o"/>
      <w:lvlJc w:val="left"/>
      <w:pPr>
        <w:ind w:left="4005" w:hanging="360"/>
      </w:pPr>
      <w:rPr>
        <w:rFonts w:ascii="Courier New" w:hAnsi="Courier New" w:cs="Courier New" w:hint="default"/>
      </w:rPr>
    </w:lvl>
    <w:lvl w:ilvl="5" w:tplc="04150005" w:tentative="1">
      <w:start w:val="1"/>
      <w:numFmt w:val="bullet"/>
      <w:lvlText w:val=""/>
      <w:lvlJc w:val="left"/>
      <w:pPr>
        <w:ind w:left="4725" w:hanging="360"/>
      </w:pPr>
      <w:rPr>
        <w:rFonts w:ascii="Wingdings" w:hAnsi="Wingdings" w:hint="default"/>
      </w:rPr>
    </w:lvl>
    <w:lvl w:ilvl="6" w:tplc="04150001" w:tentative="1">
      <w:start w:val="1"/>
      <w:numFmt w:val="bullet"/>
      <w:lvlText w:val=""/>
      <w:lvlJc w:val="left"/>
      <w:pPr>
        <w:ind w:left="5445" w:hanging="360"/>
      </w:pPr>
      <w:rPr>
        <w:rFonts w:ascii="Symbol" w:hAnsi="Symbol" w:hint="default"/>
      </w:rPr>
    </w:lvl>
    <w:lvl w:ilvl="7" w:tplc="04150003" w:tentative="1">
      <w:start w:val="1"/>
      <w:numFmt w:val="bullet"/>
      <w:lvlText w:val="o"/>
      <w:lvlJc w:val="left"/>
      <w:pPr>
        <w:ind w:left="6165" w:hanging="360"/>
      </w:pPr>
      <w:rPr>
        <w:rFonts w:ascii="Courier New" w:hAnsi="Courier New" w:cs="Courier New" w:hint="default"/>
      </w:rPr>
    </w:lvl>
    <w:lvl w:ilvl="8" w:tplc="04150005" w:tentative="1">
      <w:start w:val="1"/>
      <w:numFmt w:val="bullet"/>
      <w:lvlText w:val=""/>
      <w:lvlJc w:val="left"/>
      <w:pPr>
        <w:ind w:left="6885" w:hanging="360"/>
      </w:pPr>
      <w:rPr>
        <w:rFonts w:ascii="Wingdings" w:hAnsi="Wingdings" w:hint="default"/>
      </w:rPr>
    </w:lvl>
  </w:abstractNum>
  <w:abstractNum w:abstractNumId="27">
    <w:nsid w:val="16B1473D"/>
    <w:multiLevelType w:val="hybridMultilevel"/>
    <w:tmpl w:val="6D4A2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B0F5459"/>
    <w:multiLevelType w:val="hybridMultilevel"/>
    <w:tmpl w:val="591AA5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B250756"/>
    <w:multiLevelType w:val="hybridMultilevel"/>
    <w:tmpl w:val="28E2F3A0"/>
    <w:lvl w:ilvl="0" w:tplc="38E6383E">
      <w:start w:val="1"/>
      <w:numFmt w:val="bullet"/>
      <w:lvlText w:val=""/>
      <w:lvlJc w:val="left"/>
      <w:pPr>
        <w:tabs>
          <w:tab w:val="num" w:pos="720"/>
        </w:tabs>
        <w:ind w:left="720" w:hanging="360"/>
      </w:pPr>
      <w:rPr>
        <w:rFonts w:ascii="Symbol" w:hAnsi="Symbol" w:hint="default"/>
      </w:rPr>
    </w:lvl>
    <w:lvl w:ilvl="1" w:tplc="04150001"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1D340A2F"/>
    <w:multiLevelType w:val="hybridMultilevel"/>
    <w:tmpl w:val="C19E7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FCE6324"/>
    <w:multiLevelType w:val="hybridMultilevel"/>
    <w:tmpl w:val="3E860B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0286973"/>
    <w:multiLevelType w:val="hybridMultilevel"/>
    <w:tmpl w:val="29F295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nsid w:val="206D3FDD"/>
    <w:multiLevelType w:val="hybridMultilevel"/>
    <w:tmpl w:val="9FD0895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34">
    <w:nsid w:val="22141B77"/>
    <w:multiLevelType w:val="hybridMultilevel"/>
    <w:tmpl w:val="935A510A"/>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297363B2"/>
    <w:multiLevelType w:val="hybridMultilevel"/>
    <w:tmpl w:val="BC664312"/>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C421B00"/>
    <w:multiLevelType w:val="hybridMultilevel"/>
    <w:tmpl w:val="1BDE6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C474BF2"/>
    <w:multiLevelType w:val="hybridMultilevel"/>
    <w:tmpl w:val="7696E5B8"/>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2D3A38BB"/>
    <w:multiLevelType w:val="hybridMultilevel"/>
    <w:tmpl w:val="2DFEB3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2D4E3DB6"/>
    <w:multiLevelType w:val="multilevel"/>
    <w:tmpl w:val="A4BA00C2"/>
    <w:styleLink w:val="Styl3"/>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nsid w:val="2F405466"/>
    <w:multiLevelType w:val="hybridMultilevel"/>
    <w:tmpl w:val="22F2FCA6"/>
    <w:lvl w:ilvl="0" w:tplc="01AEC53C">
      <w:start w:val="1"/>
      <w:numFmt w:val="bullet"/>
      <w:lvlText w:val=""/>
      <w:lvlJc w:val="left"/>
      <w:pPr>
        <w:ind w:left="720" w:hanging="360"/>
      </w:pPr>
      <w:rPr>
        <w:rFonts w:ascii="Symbol" w:hAnsi="Symbol" w:hint="default"/>
      </w:rPr>
    </w:lvl>
    <w:lvl w:ilvl="1" w:tplc="25B275F8">
      <w:start w:val="1"/>
      <w:numFmt w:val="bullet"/>
      <w:lvlText w:val="o"/>
      <w:lvlJc w:val="left"/>
      <w:pPr>
        <w:ind w:left="1440" w:hanging="360"/>
      </w:pPr>
      <w:rPr>
        <w:rFonts w:ascii="Courier New" w:hAnsi="Courier New" w:cs="Courier New" w:hint="default"/>
      </w:rPr>
    </w:lvl>
    <w:lvl w:ilvl="2" w:tplc="28A23C70">
      <w:start w:val="1"/>
      <w:numFmt w:val="bullet"/>
      <w:lvlText w:val=""/>
      <w:lvlJc w:val="left"/>
      <w:pPr>
        <w:ind w:left="2160" w:hanging="360"/>
      </w:pPr>
      <w:rPr>
        <w:rFonts w:ascii="Wingdings" w:hAnsi="Wingdings" w:hint="default"/>
      </w:rPr>
    </w:lvl>
    <w:lvl w:ilvl="3" w:tplc="203617B8">
      <w:start w:val="1"/>
      <w:numFmt w:val="bullet"/>
      <w:lvlText w:val=""/>
      <w:lvlJc w:val="left"/>
      <w:pPr>
        <w:ind w:left="2880" w:hanging="360"/>
      </w:pPr>
      <w:rPr>
        <w:rFonts w:ascii="Symbol" w:hAnsi="Symbol" w:hint="default"/>
      </w:rPr>
    </w:lvl>
    <w:lvl w:ilvl="4" w:tplc="54ACDBF0">
      <w:start w:val="1"/>
      <w:numFmt w:val="bullet"/>
      <w:lvlText w:val="o"/>
      <w:lvlJc w:val="left"/>
      <w:pPr>
        <w:ind w:left="3600" w:hanging="360"/>
      </w:pPr>
      <w:rPr>
        <w:rFonts w:ascii="Courier New" w:hAnsi="Courier New" w:cs="Courier New" w:hint="default"/>
      </w:rPr>
    </w:lvl>
    <w:lvl w:ilvl="5" w:tplc="1E1A391C">
      <w:start w:val="1"/>
      <w:numFmt w:val="bullet"/>
      <w:lvlText w:val=""/>
      <w:lvlJc w:val="left"/>
      <w:pPr>
        <w:ind w:left="4320" w:hanging="360"/>
      </w:pPr>
      <w:rPr>
        <w:rFonts w:ascii="Wingdings" w:hAnsi="Wingdings" w:hint="default"/>
      </w:rPr>
    </w:lvl>
    <w:lvl w:ilvl="6" w:tplc="3C1A18B2">
      <w:start w:val="1"/>
      <w:numFmt w:val="bullet"/>
      <w:lvlText w:val=""/>
      <w:lvlJc w:val="left"/>
      <w:pPr>
        <w:ind w:left="5040" w:hanging="360"/>
      </w:pPr>
      <w:rPr>
        <w:rFonts w:ascii="Symbol" w:hAnsi="Symbol" w:hint="default"/>
      </w:rPr>
    </w:lvl>
    <w:lvl w:ilvl="7" w:tplc="B5F8955C">
      <w:start w:val="1"/>
      <w:numFmt w:val="bullet"/>
      <w:lvlText w:val="o"/>
      <w:lvlJc w:val="left"/>
      <w:pPr>
        <w:ind w:left="5760" w:hanging="360"/>
      </w:pPr>
      <w:rPr>
        <w:rFonts w:ascii="Courier New" w:hAnsi="Courier New" w:cs="Courier New" w:hint="default"/>
      </w:rPr>
    </w:lvl>
    <w:lvl w:ilvl="8" w:tplc="9072D6A2">
      <w:start w:val="1"/>
      <w:numFmt w:val="bullet"/>
      <w:lvlText w:val=""/>
      <w:lvlJc w:val="left"/>
      <w:pPr>
        <w:ind w:left="6480" w:hanging="360"/>
      </w:pPr>
      <w:rPr>
        <w:rFonts w:ascii="Wingdings" w:hAnsi="Wingdings" w:hint="default"/>
      </w:rPr>
    </w:lvl>
  </w:abstractNum>
  <w:abstractNum w:abstractNumId="41">
    <w:nsid w:val="3068317B"/>
    <w:multiLevelType w:val="multilevel"/>
    <w:tmpl w:val="0415001D"/>
    <w:styleLink w:val="Styl2"/>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nsid w:val="306D017E"/>
    <w:multiLevelType w:val="hybridMultilevel"/>
    <w:tmpl w:val="DDC447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nsid w:val="335618F9"/>
    <w:multiLevelType w:val="hybridMultilevel"/>
    <w:tmpl w:val="5A70E94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nsid w:val="336847C3"/>
    <w:multiLevelType w:val="hybridMultilevel"/>
    <w:tmpl w:val="80C0C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3807C72"/>
    <w:multiLevelType w:val="hybridMultilevel"/>
    <w:tmpl w:val="0186BD50"/>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3D1296C"/>
    <w:multiLevelType w:val="hybridMultilevel"/>
    <w:tmpl w:val="96B2CCBA"/>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4C94FB0"/>
    <w:multiLevelType w:val="hybridMultilevel"/>
    <w:tmpl w:val="C8D295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79A3E7F"/>
    <w:multiLevelType w:val="hybridMultilevel"/>
    <w:tmpl w:val="97A05A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37A207D3"/>
    <w:multiLevelType w:val="hybridMultilevel"/>
    <w:tmpl w:val="9912F28A"/>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50">
    <w:nsid w:val="3AE64348"/>
    <w:multiLevelType w:val="hybridMultilevel"/>
    <w:tmpl w:val="DCDC65BE"/>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AF043BE"/>
    <w:multiLevelType w:val="hybridMultilevel"/>
    <w:tmpl w:val="1032902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3B0860C0"/>
    <w:multiLevelType w:val="hybridMultilevel"/>
    <w:tmpl w:val="F47E4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C461C3C"/>
    <w:multiLevelType w:val="hybridMultilevel"/>
    <w:tmpl w:val="068EBC8E"/>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C5D0E24"/>
    <w:multiLevelType w:val="hybridMultilevel"/>
    <w:tmpl w:val="5050A5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C891C72"/>
    <w:multiLevelType w:val="hybridMultilevel"/>
    <w:tmpl w:val="D2CEB792"/>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3C9862CE"/>
    <w:multiLevelType w:val="hybridMultilevel"/>
    <w:tmpl w:val="A0080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3E411358"/>
    <w:multiLevelType w:val="hybridMultilevel"/>
    <w:tmpl w:val="96C48C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3E841F97"/>
    <w:multiLevelType w:val="hybridMultilevel"/>
    <w:tmpl w:val="6C1872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EAA485F"/>
    <w:multiLevelType w:val="hybridMultilevel"/>
    <w:tmpl w:val="6A3E4B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F322881"/>
    <w:multiLevelType w:val="hybridMultilevel"/>
    <w:tmpl w:val="25D4B416"/>
    <w:lvl w:ilvl="0" w:tplc="04150001">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01B02EA"/>
    <w:multiLevelType w:val="hybridMultilevel"/>
    <w:tmpl w:val="11649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43001EA1"/>
    <w:multiLevelType w:val="hybridMultilevel"/>
    <w:tmpl w:val="857C80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5C8583A"/>
    <w:multiLevelType w:val="hybridMultilevel"/>
    <w:tmpl w:val="F7807C42"/>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476065C5"/>
    <w:multiLevelType w:val="hybridMultilevel"/>
    <w:tmpl w:val="024ED808"/>
    <w:lvl w:ilvl="0" w:tplc="04150005">
      <w:start w:val="1"/>
      <w:numFmt w:val="bullet"/>
      <w:lvlText w:val=""/>
      <w:lvlJc w:val="left"/>
      <w:pPr>
        <w:ind w:left="720" w:hanging="360"/>
      </w:pPr>
      <w:rPr>
        <w:rFonts w:ascii="Wingdings" w:hAnsi="Wingdings" w:hint="default"/>
      </w:rPr>
    </w:lvl>
    <w:lvl w:ilvl="1" w:tplc="04150003" w:tentative="1">
      <w:start w:val="1"/>
      <w:numFmt w:val="bullet"/>
      <w:pStyle w:val="11"/>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7D9095A"/>
    <w:multiLevelType w:val="hybridMultilevel"/>
    <w:tmpl w:val="8D289A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nsid w:val="489C4AFF"/>
    <w:multiLevelType w:val="hybridMultilevel"/>
    <w:tmpl w:val="B3E006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B0240EB"/>
    <w:multiLevelType w:val="hybridMultilevel"/>
    <w:tmpl w:val="7D9C6012"/>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B03761D"/>
    <w:multiLevelType w:val="hybridMultilevel"/>
    <w:tmpl w:val="06427808"/>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4C5E64EC"/>
    <w:multiLevelType w:val="hybridMultilevel"/>
    <w:tmpl w:val="ED6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4C702B64"/>
    <w:multiLevelType w:val="hybridMultilevel"/>
    <w:tmpl w:val="15BA04A0"/>
    <w:lvl w:ilvl="0" w:tplc="E4008C46">
      <w:start w:val="1"/>
      <w:numFmt w:val="bullet"/>
      <w:pStyle w:val="probba"/>
      <w:lvlText w:val=""/>
      <w:lvlJc w:val="left"/>
      <w:pPr>
        <w:tabs>
          <w:tab w:val="num" w:pos="563"/>
        </w:tabs>
        <w:ind w:left="563" w:hanging="453"/>
      </w:pPr>
      <w:rPr>
        <w:rFonts w:ascii="Wingdings" w:hAnsi="Wingdings" w:hint="default"/>
        <w:sz w:val="18"/>
        <w:szCs w:val="18"/>
      </w:rPr>
    </w:lvl>
    <w:lvl w:ilvl="1" w:tplc="87043F40">
      <w:start w:val="1"/>
      <w:numFmt w:val="decimal"/>
      <w:lvlText w:val="%2."/>
      <w:lvlJc w:val="left"/>
      <w:pPr>
        <w:tabs>
          <w:tab w:val="num" w:pos="567"/>
        </w:tabs>
        <w:ind w:left="567" w:hanging="567"/>
      </w:pPr>
      <w:rPr>
        <w:rFonts w:hint="default"/>
      </w:rPr>
    </w:lvl>
    <w:lvl w:ilvl="2" w:tplc="FFFFFFFF" w:tentative="1">
      <w:start w:val="1"/>
      <w:numFmt w:val="bullet"/>
      <w:lvlText w:val=""/>
      <w:lvlJc w:val="left"/>
      <w:pPr>
        <w:tabs>
          <w:tab w:val="num" w:pos="2064"/>
        </w:tabs>
        <w:ind w:left="2064" w:hanging="360"/>
      </w:pPr>
      <w:rPr>
        <w:rFonts w:ascii="Wingdings" w:hAnsi="Wingdings" w:hint="default"/>
      </w:rPr>
    </w:lvl>
    <w:lvl w:ilvl="3" w:tplc="FFFFFFFF" w:tentative="1">
      <w:start w:val="1"/>
      <w:numFmt w:val="bullet"/>
      <w:lvlText w:val=""/>
      <w:lvlJc w:val="left"/>
      <w:pPr>
        <w:tabs>
          <w:tab w:val="num" w:pos="2784"/>
        </w:tabs>
        <w:ind w:left="2784" w:hanging="360"/>
      </w:pPr>
      <w:rPr>
        <w:rFonts w:ascii="Symbol" w:hAnsi="Symbol" w:hint="default"/>
      </w:rPr>
    </w:lvl>
    <w:lvl w:ilvl="4" w:tplc="FFFFFFFF" w:tentative="1">
      <w:start w:val="1"/>
      <w:numFmt w:val="bullet"/>
      <w:lvlText w:val="o"/>
      <w:lvlJc w:val="left"/>
      <w:pPr>
        <w:tabs>
          <w:tab w:val="num" w:pos="3504"/>
        </w:tabs>
        <w:ind w:left="3504" w:hanging="360"/>
      </w:pPr>
      <w:rPr>
        <w:rFonts w:ascii="Courier New" w:hAnsi="Courier New" w:cs="Courier New" w:hint="default"/>
      </w:rPr>
    </w:lvl>
    <w:lvl w:ilvl="5" w:tplc="FFFFFFFF" w:tentative="1">
      <w:start w:val="1"/>
      <w:numFmt w:val="bullet"/>
      <w:lvlText w:val=""/>
      <w:lvlJc w:val="left"/>
      <w:pPr>
        <w:tabs>
          <w:tab w:val="num" w:pos="4224"/>
        </w:tabs>
        <w:ind w:left="4224" w:hanging="360"/>
      </w:pPr>
      <w:rPr>
        <w:rFonts w:ascii="Wingdings" w:hAnsi="Wingdings" w:hint="default"/>
      </w:rPr>
    </w:lvl>
    <w:lvl w:ilvl="6" w:tplc="FFFFFFFF" w:tentative="1">
      <w:start w:val="1"/>
      <w:numFmt w:val="bullet"/>
      <w:lvlText w:val=""/>
      <w:lvlJc w:val="left"/>
      <w:pPr>
        <w:tabs>
          <w:tab w:val="num" w:pos="4944"/>
        </w:tabs>
        <w:ind w:left="4944" w:hanging="360"/>
      </w:pPr>
      <w:rPr>
        <w:rFonts w:ascii="Symbol" w:hAnsi="Symbol" w:hint="default"/>
      </w:rPr>
    </w:lvl>
    <w:lvl w:ilvl="7" w:tplc="FFFFFFFF" w:tentative="1">
      <w:start w:val="1"/>
      <w:numFmt w:val="bullet"/>
      <w:lvlText w:val="o"/>
      <w:lvlJc w:val="left"/>
      <w:pPr>
        <w:tabs>
          <w:tab w:val="num" w:pos="5664"/>
        </w:tabs>
        <w:ind w:left="5664" w:hanging="360"/>
      </w:pPr>
      <w:rPr>
        <w:rFonts w:ascii="Courier New" w:hAnsi="Courier New" w:cs="Courier New" w:hint="default"/>
      </w:rPr>
    </w:lvl>
    <w:lvl w:ilvl="8" w:tplc="FFFFFFFF" w:tentative="1">
      <w:start w:val="1"/>
      <w:numFmt w:val="bullet"/>
      <w:lvlText w:val=""/>
      <w:lvlJc w:val="left"/>
      <w:pPr>
        <w:tabs>
          <w:tab w:val="num" w:pos="6384"/>
        </w:tabs>
        <w:ind w:left="6384" w:hanging="360"/>
      </w:pPr>
      <w:rPr>
        <w:rFonts w:ascii="Wingdings" w:hAnsi="Wingdings" w:hint="default"/>
      </w:rPr>
    </w:lvl>
  </w:abstractNum>
  <w:abstractNum w:abstractNumId="71">
    <w:nsid w:val="4D020119"/>
    <w:multiLevelType w:val="hybridMultilevel"/>
    <w:tmpl w:val="9C365E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nsid w:val="4D1611FE"/>
    <w:multiLevelType w:val="hybridMultilevel"/>
    <w:tmpl w:val="6E88B1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4DB14EE9"/>
    <w:multiLevelType w:val="hybridMultilevel"/>
    <w:tmpl w:val="ECCE3B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F5651AC"/>
    <w:multiLevelType w:val="multilevel"/>
    <w:tmpl w:val="0415001D"/>
    <w:styleLink w:val="Styl4"/>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nsid w:val="4FFC36E5"/>
    <w:multiLevelType w:val="hybridMultilevel"/>
    <w:tmpl w:val="4FF0F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61C4968"/>
    <w:multiLevelType w:val="hybridMultilevel"/>
    <w:tmpl w:val="E08E6C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8F60BD0"/>
    <w:multiLevelType w:val="hybridMultilevel"/>
    <w:tmpl w:val="95F691C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9C06E3D"/>
    <w:multiLevelType w:val="hybridMultilevel"/>
    <w:tmpl w:val="D81C5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59E6061E"/>
    <w:multiLevelType w:val="multilevel"/>
    <w:tmpl w:val="ECDEAAC0"/>
    <w:lvl w:ilvl="0">
      <w:start w:val="1"/>
      <w:numFmt w:val="decimal"/>
      <w:pStyle w:val="p1"/>
      <w:lvlText w:val="%1."/>
      <w:lvlJc w:val="left"/>
      <w:pPr>
        <w:ind w:left="360" w:hanging="360"/>
      </w:pPr>
      <w:rPr>
        <w:color w:val="auto"/>
      </w:rPr>
    </w:lvl>
    <w:lvl w:ilvl="1">
      <w:start w:val="1"/>
      <w:numFmt w:val="decimal"/>
      <w:pStyle w:val="p2"/>
      <w:lvlText w:val="%1.%2."/>
      <w:lvlJc w:val="left"/>
      <w:pPr>
        <w:ind w:left="792" w:hanging="432"/>
      </w:pPr>
    </w:lvl>
    <w:lvl w:ilvl="2">
      <w:start w:val="1"/>
      <w:numFmt w:val="decimal"/>
      <w:pStyle w:val="p3"/>
      <w:lvlText w:val="%1.%2.%3."/>
      <w:lvlJc w:val="left"/>
      <w:pPr>
        <w:ind w:left="1224" w:hanging="504"/>
      </w:pPr>
    </w:lvl>
    <w:lvl w:ilvl="3">
      <w:start w:val="1"/>
      <w:numFmt w:val="decimal"/>
      <w:pStyle w:val="p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5B691F0C"/>
    <w:multiLevelType w:val="hybridMultilevel"/>
    <w:tmpl w:val="52E45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5BD12890"/>
    <w:multiLevelType w:val="multilevel"/>
    <w:tmpl w:val="3D4E5D0E"/>
    <w:lvl w:ilvl="0">
      <w:start w:val="1"/>
      <w:numFmt w:val="decimal"/>
      <w:lvlText w:val="%1"/>
      <w:lvlJc w:val="left"/>
      <w:pPr>
        <w:ind w:left="360" w:hanging="360"/>
      </w:pPr>
      <w:rPr>
        <w:rFonts w:hint="default"/>
      </w:rPr>
    </w:lvl>
    <w:lvl w:ilvl="1">
      <w:start w:val="1"/>
      <w:numFmt w:val="decimal"/>
      <w:pStyle w:val="uwarunkowania3"/>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2">
    <w:nsid w:val="5C562A30"/>
    <w:multiLevelType w:val="hybridMultilevel"/>
    <w:tmpl w:val="52D6754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3">
    <w:nsid w:val="5C8C2CAF"/>
    <w:multiLevelType w:val="hybridMultilevel"/>
    <w:tmpl w:val="C4E64466"/>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4">
    <w:nsid w:val="5CBF5583"/>
    <w:multiLevelType w:val="hybridMultilevel"/>
    <w:tmpl w:val="95DCB7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5">
    <w:nsid w:val="5D136001"/>
    <w:multiLevelType w:val="multilevel"/>
    <w:tmpl w:val="6106A9CC"/>
    <w:lvl w:ilvl="0">
      <w:start w:val="1"/>
      <w:numFmt w:val="decimal"/>
      <w:pStyle w:val="Nagwek1"/>
      <w:lvlText w:val="%1"/>
      <w:lvlJc w:val="left"/>
      <w:pPr>
        <w:ind w:left="5253" w:hanging="432"/>
      </w:pPr>
    </w:lvl>
    <w:lvl w:ilvl="1">
      <w:start w:val="1"/>
      <w:numFmt w:val="decimal"/>
      <w:pStyle w:val="Nagwek2"/>
      <w:lvlText w:val="%1.%2"/>
      <w:lvlJc w:val="left"/>
      <w:pPr>
        <w:ind w:left="57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Nagwek3"/>
      <w:lvlText w:val="%1.%2.%3"/>
      <w:lvlJc w:val="left"/>
      <w:pPr>
        <w:ind w:left="720" w:hanging="720"/>
      </w:pPr>
    </w:lvl>
    <w:lvl w:ilvl="3">
      <w:start w:val="1"/>
      <w:numFmt w:val="decimal"/>
      <w:lvlText w:val="%1.%2.%3.%4"/>
      <w:lvlJc w:val="left"/>
      <w:pPr>
        <w:ind w:left="2424" w:hanging="864"/>
      </w:pPr>
    </w:lvl>
    <w:lvl w:ilvl="4">
      <w:start w:val="1"/>
      <w:numFmt w:val="decimal"/>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6">
    <w:nsid w:val="61787BF0"/>
    <w:multiLevelType w:val="hybridMultilevel"/>
    <w:tmpl w:val="E996E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61AF3EED"/>
    <w:multiLevelType w:val="hybridMultilevel"/>
    <w:tmpl w:val="74402ED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30D2328"/>
    <w:multiLevelType w:val="hybridMultilevel"/>
    <w:tmpl w:val="D2A8ED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3D40FFF"/>
    <w:multiLevelType w:val="hybridMultilevel"/>
    <w:tmpl w:val="C8B209EE"/>
    <w:lvl w:ilvl="0" w:tplc="04150003">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0">
    <w:nsid w:val="646C5B1D"/>
    <w:multiLevelType w:val="hybridMultilevel"/>
    <w:tmpl w:val="4B9E455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
    <w:nsid w:val="64B655D6"/>
    <w:multiLevelType w:val="hybridMultilevel"/>
    <w:tmpl w:val="1568B9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7E17E0C"/>
    <w:multiLevelType w:val="hybridMultilevel"/>
    <w:tmpl w:val="E786A4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85C6F7D"/>
    <w:multiLevelType w:val="hybridMultilevel"/>
    <w:tmpl w:val="B9F221A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nsid w:val="6C542084"/>
    <w:multiLevelType w:val="hybridMultilevel"/>
    <w:tmpl w:val="223EE9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6E131063"/>
    <w:multiLevelType w:val="hybridMultilevel"/>
    <w:tmpl w:val="7682EB0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6E41119E"/>
    <w:multiLevelType w:val="hybridMultilevel"/>
    <w:tmpl w:val="709EB8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6F915C7E"/>
    <w:multiLevelType w:val="multilevel"/>
    <w:tmpl w:val="0415001D"/>
    <w:styleLink w:val="Styl1"/>
    <w:lvl w:ilvl="0">
      <w:start w:val="1"/>
      <w:numFmt w:val="decimal"/>
      <w:lvlText w:val="%1)"/>
      <w:lvlJc w:val="left"/>
      <w:pPr>
        <w:ind w:left="360" w:hanging="360"/>
      </w:pPr>
    </w:lvl>
    <w:lvl w:ilvl="1">
      <w:start w:val="2"/>
      <w:numFmt w:val="ordin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8">
    <w:nsid w:val="703A2B4B"/>
    <w:multiLevelType w:val="hybridMultilevel"/>
    <w:tmpl w:val="BE2EA2A0"/>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12D2AED"/>
    <w:multiLevelType w:val="hybridMultilevel"/>
    <w:tmpl w:val="C37639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237788F"/>
    <w:multiLevelType w:val="hybridMultilevel"/>
    <w:tmpl w:val="629687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2FA3E8A"/>
    <w:multiLevelType w:val="multilevel"/>
    <w:tmpl w:val="67D260D8"/>
    <w:lvl w:ilvl="0">
      <w:start w:val="1"/>
      <w:numFmt w:val="decimal"/>
      <w:pStyle w:val="ddd"/>
      <w:lvlText w:val="%1."/>
      <w:lvlJc w:val="left"/>
      <w:pPr>
        <w:ind w:left="720" w:hanging="360"/>
      </w:pPr>
      <w:rPr>
        <w:rFonts w:hint="default"/>
        <w:b/>
        <w:color w:val="auto"/>
        <w:sz w:val="26"/>
        <w:szCs w:val="26"/>
      </w:rPr>
    </w:lvl>
    <w:lvl w:ilvl="1">
      <w:start w:val="1"/>
      <w:numFmt w:val="decimal"/>
      <w:pStyle w:val="spis2"/>
      <w:isLgl/>
      <w:lvlText w:val="%1.%2."/>
      <w:lvlJc w:val="left"/>
      <w:pPr>
        <w:ind w:left="1070" w:hanging="360"/>
      </w:pPr>
      <w:rPr>
        <w:rFonts w:hint="default"/>
        <w:b/>
        <w:color w:val="auto"/>
        <w:sz w:val="24"/>
        <w:szCs w:val="24"/>
      </w:rPr>
    </w:lvl>
    <w:lvl w:ilvl="2">
      <w:start w:val="1"/>
      <w:numFmt w:val="decimal"/>
      <w:pStyle w:val="spis3"/>
      <w:isLgl/>
      <w:lvlText w:val="%1.%2.%3."/>
      <w:lvlJc w:val="left"/>
      <w:pPr>
        <w:ind w:left="1800" w:hanging="720"/>
      </w:pPr>
      <w:rPr>
        <w:rFonts w:hint="default"/>
        <w:b/>
        <w:color w:val="auto"/>
        <w:sz w:val="22"/>
      </w:rPr>
    </w:lvl>
    <w:lvl w:ilvl="3">
      <w:start w:val="1"/>
      <w:numFmt w:val="decimal"/>
      <w:isLgl/>
      <w:lvlText w:val="%1.%2.%3.%4."/>
      <w:lvlJc w:val="left"/>
      <w:pPr>
        <w:ind w:left="2160" w:hanging="720"/>
      </w:pPr>
      <w:rPr>
        <w:rFonts w:hint="default"/>
        <w:b/>
        <w:sz w:val="22"/>
      </w:rPr>
    </w:lvl>
    <w:lvl w:ilvl="4">
      <w:start w:val="1"/>
      <w:numFmt w:val="decimal"/>
      <w:isLgl/>
      <w:lvlText w:val="%1.%2.%3.%4.%5."/>
      <w:lvlJc w:val="left"/>
      <w:pPr>
        <w:ind w:left="2880" w:hanging="1080"/>
      </w:pPr>
      <w:rPr>
        <w:rFonts w:hint="default"/>
        <w:b/>
        <w:sz w:val="22"/>
      </w:rPr>
    </w:lvl>
    <w:lvl w:ilvl="5">
      <w:start w:val="1"/>
      <w:numFmt w:val="decimal"/>
      <w:isLgl/>
      <w:lvlText w:val="%1.%2.%3.%4.%5.%6."/>
      <w:lvlJc w:val="left"/>
      <w:pPr>
        <w:ind w:left="3240" w:hanging="1080"/>
      </w:pPr>
      <w:rPr>
        <w:rFonts w:hint="default"/>
        <w:b/>
        <w:sz w:val="22"/>
      </w:rPr>
    </w:lvl>
    <w:lvl w:ilvl="6">
      <w:start w:val="1"/>
      <w:numFmt w:val="decimal"/>
      <w:isLgl/>
      <w:lvlText w:val="%1.%2.%3.%4.%5.%6.%7."/>
      <w:lvlJc w:val="left"/>
      <w:pPr>
        <w:ind w:left="3600" w:hanging="1080"/>
      </w:pPr>
      <w:rPr>
        <w:rFonts w:hint="default"/>
        <w:b/>
        <w:sz w:val="22"/>
      </w:rPr>
    </w:lvl>
    <w:lvl w:ilvl="7">
      <w:start w:val="1"/>
      <w:numFmt w:val="decimal"/>
      <w:isLgl/>
      <w:lvlText w:val="%1.%2.%3.%4.%5.%6.%7.%8."/>
      <w:lvlJc w:val="left"/>
      <w:pPr>
        <w:ind w:left="4320" w:hanging="1440"/>
      </w:pPr>
      <w:rPr>
        <w:rFonts w:hint="default"/>
        <w:b/>
        <w:sz w:val="22"/>
      </w:rPr>
    </w:lvl>
    <w:lvl w:ilvl="8">
      <w:start w:val="1"/>
      <w:numFmt w:val="decimal"/>
      <w:isLgl/>
      <w:lvlText w:val="%1.%2.%3.%4.%5.%6.%7.%8.%9."/>
      <w:lvlJc w:val="left"/>
      <w:pPr>
        <w:ind w:left="4680" w:hanging="1440"/>
      </w:pPr>
      <w:rPr>
        <w:rFonts w:hint="default"/>
        <w:b/>
        <w:sz w:val="22"/>
      </w:rPr>
    </w:lvl>
  </w:abstractNum>
  <w:abstractNum w:abstractNumId="102">
    <w:nsid w:val="73D9184C"/>
    <w:multiLevelType w:val="hybridMultilevel"/>
    <w:tmpl w:val="B0541DA8"/>
    <w:lvl w:ilvl="0" w:tplc="40B6D4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756B6E08"/>
    <w:multiLevelType w:val="hybridMultilevel"/>
    <w:tmpl w:val="CE4CD38C"/>
    <w:lvl w:ilvl="0" w:tplc="05B0B21A">
      <w:start w:val="1"/>
      <w:numFmt w:val="bullet"/>
      <w:pStyle w:val="Wypnktowanie1"/>
      <w:lvlText w:val="–"/>
      <w:lvlJc w:val="left"/>
      <w:pPr>
        <w:tabs>
          <w:tab w:val="num" w:pos="360"/>
        </w:tabs>
        <w:ind w:left="340" w:hanging="340"/>
      </w:pPr>
      <w:rPr>
        <w:rFonts w:ascii="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4">
    <w:nsid w:val="758367E5"/>
    <w:multiLevelType w:val="hybridMultilevel"/>
    <w:tmpl w:val="2DA68E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75F509ED"/>
    <w:multiLevelType w:val="hybridMultilevel"/>
    <w:tmpl w:val="FC6C5B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60B6736"/>
    <w:multiLevelType w:val="hybridMultilevel"/>
    <w:tmpl w:val="8DFEACB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768E66B0"/>
    <w:multiLevelType w:val="hybridMultilevel"/>
    <w:tmpl w:val="67CA50E4"/>
    <w:lvl w:ilvl="0" w:tplc="0409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6D805B2"/>
    <w:multiLevelType w:val="hybridMultilevel"/>
    <w:tmpl w:val="37B0D2B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nsid w:val="787D1B23"/>
    <w:multiLevelType w:val="hybridMultilevel"/>
    <w:tmpl w:val="886C00BA"/>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0">
    <w:nsid w:val="794E79AB"/>
    <w:multiLevelType w:val="hybridMultilevel"/>
    <w:tmpl w:val="F12A6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7A2D7143"/>
    <w:multiLevelType w:val="hybridMultilevel"/>
    <w:tmpl w:val="C0843A94"/>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7A4F7C17"/>
    <w:multiLevelType w:val="hybridMultilevel"/>
    <w:tmpl w:val="C8E6D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7B4429EC"/>
    <w:multiLevelType w:val="hybridMultilevel"/>
    <w:tmpl w:val="FF80895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nsid w:val="7C953417"/>
    <w:multiLevelType w:val="hybridMultilevel"/>
    <w:tmpl w:val="11BA61DE"/>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7D450319"/>
    <w:multiLevelType w:val="hybridMultilevel"/>
    <w:tmpl w:val="041CE8E2"/>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7FA121C9"/>
    <w:multiLevelType w:val="hybridMultilevel"/>
    <w:tmpl w:val="A35A1C2E"/>
    <w:lvl w:ilvl="0" w:tplc="38E6383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59"/>
  </w:num>
  <w:num w:numId="4">
    <w:abstractNumId w:val="22"/>
  </w:num>
  <w:num w:numId="5">
    <w:abstractNumId w:val="85"/>
  </w:num>
  <w:num w:numId="6">
    <w:abstractNumId w:val="96"/>
  </w:num>
  <w:num w:numId="7">
    <w:abstractNumId w:val="78"/>
  </w:num>
  <w:num w:numId="8">
    <w:abstractNumId w:val="58"/>
  </w:num>
  <w:num w:numId="9">
    <w:abstractNumId w:val="44"/>
  </w:num>
  <w:num w:numId="10">
    <w:abstractNumId w:val="60"/>
  </w:num>
  <w:num w:numId="11">
    <w:abstractNumId w:val="54"/>
  </w:num>
  <w:num w:numId="12">
    <w:abstractNumId w:val="66"/>
  </w:num>
  <w:num w:numId="13">
    <w:abstractNumId w:val="48"/>
  </w:num>
  <w:num w:numId="14">
    <w:abstractNumId w:val="93"/>
  </w:num>
  <w:num w:numId="15">
    <w:abstractNumId w:val="32"/>
  </w:num>
  <w:num w:numId="16">
    <w:abstractNumId w:val="82"/>
  </w:num>
  <w:num w:numId="17">
    <w:abstractNumId w:val="10"/>
  </w:num>
  <w:num w:numId="18">
    <w:abstractNumId w:val="75"/>
  </w:num>
  <w:num w:numId="19">
    <w:abstractNumId w:val="40"/>
  </w:num>
  <w:num w:numId="20">
    <w:abstractNumId w:val="94"/>
  </w:num>
  <w:num w:numId="21">
    <w:abstractNumId w:val="62"/>
  </w:num>
  <w:num w:numId="22">
    <w:abstractNumId w:val="104"/>
  </w:num>
  <w:num w:numId="23">
    <w:abstractNumId w:val="38"/>
  </w:num>
  <w:num w:numId="24">
    <w:abstractNumId w:val="84"/>
  </w:num>
  <w:num w:numId="25">
    <w:abstractNumId w:val="92"/>
  </w:num>
  <w:num w:numId="26">
    <w:abstractNumId w:val="25"/>
  </w:num>
  <w:num w:numId="27">
    <w:abstractNumId w:val="11"/>
  </w:num>
  <w:num w:numId="28">
    <w:abstractNumId w:val="16"/>
  </w:num>
  <w:num w:numId="29">
    <w:abstractNumId w:val="76"/>
  </w:num>
  <w:num w:numId="30">
    <w:abstractNumId w:val="6"/>
  </w:num>
  <w:num w:numId="31">
    <w:abstractNumId w:val="27"/>
  </w:num>
  <w:num w:numId="32">
    <w:abstractNumId w:val="61"/>
  </w:num>
  <w:num w:numId="33">
    <w:abstractNumId w:val="112"/>
  </w:num>
  <w:num w:numId="34">
    <w:abstractNumId w:val="36"/>
  </w:num>
  <w:num w:numId="35">
    <w:abstractNumId w:val="47"/>
  </w:num>
  <w:num w:numId="36">
    <w:abstractNumId w:val="26"/>
  </w:num>
  <w:num w:numId="37">
    <w:abstractNumId w:val="20"/>
  </w:num>
  <w:num w:numId="38">
    <w:abstractNumId w:val="21"/>
  </w:num>
  <w:num w:numId="39">
    <w:abstractNumId w:val="8"/>
  </w:num>
  <w:num w:numId="40">
    <w:abstractNumId w:val="18"/>
  </w:num>
  <w:num w:numId="41">
    <w:abstractNumId w:val="110"/>
  </w:num>
  <w:num w:numId="42">
    <w:abstractNumId w:val="65"/>
  </w:num>
  <w:num w:numId="43">
    <w:abstractNumId w:val="57"/>
  </w:num>
  <w:num w:numId="44">
    <w:abstractNumId w:val="71"/>
  </w:num>
  <w:num w:numId="45">
    <w:abstractNumId w:val="80"/>
  </w:num>
  <w:num w:numId="46">
    <w:abstractNumId w:val="52"/>
  </w:num>
  <w:num w:numId="47">
    <w:abstractNumId w:val="12"/>
  </w:num>
  <w:num w:numId="48">
    <w:abstractNumId w:val="86"/>
  </w:num>
  <w:num w:numId="49">
    <w:abstractNumId w:val="33"/>
  </w:num>
  <w:num w:numId="50">
    <w:abstractNumId w:val="30"/>
  </w:num>
  <w:num w:numId="51">
    <w:abstractNumId w:val="43"/>
  </w:num>
  <w:num w:numId="52">
    <w:abstractNumId w:val="49"/>
  </w:num>
  <w:num w:numId="53">
    <w:abstractNumId w:val="69"/>
  </w:num>
  <w:num w:numId="54">
    <w:abstractNumId w:val="88"/>
  </w:num>
  <w:num w:numId="55">
    <w:abstractNumId w:val="13"/>
  </w:num>
  <w:num w:numId="56">
    <w:abstractNumId w:val="105"/>
  </w:num>
  <w:num w:numId="57">
    <w:abstractNumId w:val="28"/>
  </w:num>
  <w:num w:numId="58">
    <w:abstractNumId w:val="108"/>
  </w:num>
  <w:num w:numId="59">
    <w:abstractNumId w:val="89"/>
  </w:num>
  <w:num w:numId="60">
    <w:abstractNumId w:val="72"/>
  </w:num>
  <w:num w:numId="61">
    <w:abstractNumId w:val="31"/>
  </w:num>
  <w:num w:numId="62">
    <w:abstractNumId w:val="91"/>
  </w:num>
  <w:num w:numId="63">
    <w:abstractNumId w:val="100"/>
  </w:num>
  <w:num w:numId="64">
    <w:abstractNumId w:val="56"/>
  </w:num>
  <w:num w:numId="65">
    <w:abstractNumId w:val="99"/>
  </w:num>
  <w:num w:numId="66">
    <w:abstractNumId w:val="107"/>
  </w:num>
  <w:num w:numId="67">
    <w:abstractNumId w:val="113"/>
  </w:num>
  <w:num w:numId="68">
    <w:abstractNumId w:val="90"/>
  </w:num>
  <w:num w:numId="69">
    <w:abstractNumId w:val="42"/>
  </w:num>
  <w:num w:numId="70">
    <w:abstractNumId w:val="73"/>
  </w:num>
  <w:num w:numId="71">
    <w:abstractNumId w:val="101"/>
  </w:num>
  <w:num w:numId="72">
    <w:abstractNumId w:val="2"/>
  </w:num>
  <w:num w:numId="73">
    <w:abstractNumId w:val="1"/>
  </w:num>
  <w:num w:numId="74">
    <w:abstractNumId w:val="0"/>
  </w:num>
  <w:num w:numId="75">
    <w:abstractNumId w:val="14"/>
  </w:num>
  <w:num w:numId="76">
    <w:abstractNumId w:val="98"/>
  </w:num>
  <w:num w:numId="77">
    <w:abstractNumId w:val="64"/>
  </w:num>
  <w:num w:numId="78">
    <w:abstractNumId w:val="81"/>
  </w:num>
  <w:num w:numId="79">
    <w:abstractNumId w:val="5"/>
  </w:num>
  <w:num w:numId="80">
    <w:abstractNumId w:val="70"/>
  </w:num>
  <w:num w:numId="81">
    <w:abstractNumId w:val="97"/>
  </w:num>
  <w:num w:numId="82">
    <w:abstractNumId w:val="41"/>
  </w:num>
  <w:num w:numId="83">
    <w:abstractNumId w:val="39"/>
  </w:num>
  <w:num w:numId="84">
    <w:abstractNumId w:val="74"/>
  </w:num>
  <w:num w:numId="85">
    <w:abstractNumId w:val="9"/>
  </w:num>
  <w:num w:numId="86">
    <w:abstractNumId w:val="95"/>
  </w:num>
  <w:num w:numId="87">
    <w:abstractNumId w:val="87"/>
  </w:num>
  <w:num w:numId="88">
    <w:abstractNumId w:val="77"/>
  </w:num>
  <w:num w:numId="89">
    <w:abstractNumId w:val="115"/>
  </w:num>
  <w:num w:numId="90">
    <w:abstractNumId w:val="79"/>
  </w:num>
  <w:num w:numId="91">
    <w:abstractNumId w:val="45"/>
  </w:num>
  <w:num w:numId="92">
    <w:abstractNumId w:val="63"/>
  </w:num>
  <w:num w:numId="93">
    <w:abstractNumId w:val="29"/>
  </w:num>
  <w:num w:numId="94">
    <w:abstractNumId w:val="50"/>
  </w:num>
  <w:num w:numId="95">
    <w:abstractNumId w:val="46"/>
  </w:num>
  <w:num w:numId="96">
    <w:abstractNumId w:val="37"/>
  </w:num>
  <w:num w:numId="97">
    <w:abstractNumId w:val="34"/>
  </w:num>
  <w:num w:numId="98">
    <w:abstractNumId w:val="111"/>
  </w:num>
  <w:num w:numId="99">
    <w:abstractNumId w:val="24"/>
  </w:num>
  <w:num w:numId="100">
    <w:abstractNumId w:val="103"/>
  </w:num>
  <w:num w:numId="101">
    <w:abstractNumId w:val="55"/>
  </w:num>
  <w:num w:numId="102">
    <w:abstractNumId w:val="109"/>
  </w:num>
  <w:num w:numId="103">
    <w:abstractNumId w:val="51"/>
  </w:num>
  <w:num w:numId="104">
    <w:abstractNumId w:val="53"/>
  </w:num>
  <w:num w:numId="105">
    <w:abstractNumId w:val="23"/>
  </w:num>
  <w:num w:numId="106">
    <w:abstractNumId w:val="114"/>
  </w:num>
  <w:num w:numId="107">
    <w:abstractNumId w:val="68"/>
  </w:num>
  <w:num w:numId="108">
    <w:abstractNumId w:val="7"/>
  </w:num>
  <w:num w:numId="109">
    <w:abstractNumId w:val="83"/>
  </w:num>
  <w:num w:numId="110">
    <w:abstractNumId w:val="19"/>
  </w:num>
  <w:num w:numId="111">
    <w:abstractNumId w:val="106"/>
  </w:num>
  <w:num w:numId="112">
    <w:abstractNumId w:val="17"/>
  </w:num>
  <w:num w:numId="113">
    <w:abstractNumId w:val="116"/>
  </w:num>
  <w:num w:numId="114">
    <w:abstractNumId w:val="15"/>
  </w:num>
  <w:num w:numId="115">
    <w:abstractNumId w:val="35"/>
  </w:num>
  <w:num w:numId="116">
    <w:abstractNumId w:val="102"/>
  </w:num>
  <w:num w:numId="117">
    <w:abstractNumId w:val="67"/>
  </w:num>
  <w:numIdMacAtCleanup w:val="1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6146"/>
    <o:shapelayout v:ext="edit">
      <o:idmap v:ext="edit" data="4"/>
      <o:rules v:ext="edit">
        <o:r id="V:Rule11" type="connector" idref="#Autokształt 21"/>
        <o:r id="V:Rule12" type="connector" idref="#_x0000_s4101"/>
        <o:r id="V:Rule13" type="connector" idref="#_x0000_s4099"/>
        <o:r id="V:Rule14" type="connector" idref="#Łącznik prosty ze strzałką 914"/>
        <o:r id="V:Rule15" type="connector" idref="#_x0000_s4113"/>
        <o:r id="V:Rule16" type="connector" idref="#_x0000_s4111"/>
        <o:r id="V:Rule17" type="connector" idref="#_x0000_s4107"/>
        <o:r id="V:Rule18" type="connector" idref="#_x0000_s4109"/>
        <o:r id="V:Rule19" type="connector" idref="#_x0000_s4103"/>
        <o:r id="V:Rule20" type="connector" idref="#_x0000_s4105"/>
      </o:rules>
    </o:shapelayout>
  </w:hdrShapeDefaults>
  <w:footnotePr>
    <w:footnote w:id="-1"/>
    <w:footnote w:id="0"/>
  </w:footnotePr>
  <w:endnotePr>
    <w:endnote w:id="-1"/>
    <w:endnote w:id="0"/>
  </w:endnotePr>
  <w:compat/>
  <w:rsids>
    <w:rsidRoot w:val="00F87D8F"/>
    <w:rsid w:val="00000970"/>
    <w:rsid w:val="00002822"/>
    <w:rsid w:val="00003B08"/>
    <w:rsid w:val="00003F73"/>
    <w:rsid w:val="00004868"/>
    <w:rsid w:val="00004A67"/>
    <w:rsid w:val="00005527"/>
    <w:rsid w:val="00005C0A"/>
    <w:rsid w:val="00007163"/>
    <w:rsid w:val="00007BA2"/>
    <w:rsid w:val="000118E0"/>
    <w:rsid w:val="00012013"/>
    <w:rsid w:val="00012029"/>
    <w:rsid w:val="000120D4"/>
    <w:rsid w:val="00012E21"/>
    <w:rsid w:val="00013D73"/>
    <w:rsid w:val="000157DE"/>
    <w:rsid w:val="00015B48"/>
    <w:rsid w:val="00015C1F"/>
    <w:rsid w:val="00015FED"/>
    <w:rsid w:val="0001768A"/>
    <w:rsid w:val="00020009"/>
    <w:rsid w:val="00021BE9"/>
    <w:rsid w:val="00021ECF"/>
    <w:rsid w:val="00023E27"/>
    <w:rsid w:val="00025FB4"/>
    <w:rsid w:val="000274B0"/>
    <w:rsid w:val="00027DAC"/>
    <w:rsid w:val="00030C99"/>
    <w:rsid w:val="000319A9"/>
    <w:rsid w:val="00032ED3"/>
    <w:rsid w:val="00034FC0"/>
    <w:rsid w:val="00035EDF"/>
    <w:rsid w:val="00036F2C"/>
    <w:rsid w:val="0003730B"/>
    <w:rsid w:val="00040B2F"/>
    <w:rsid w:val="00042310"/>
    <w:rsid w:val="00042C60"/>
    <w:rsid w:val="0004466F"/>
    <w:rsid w:val="00045A69"/>
    <w:rsid w:val="00046423"/>
    <w:rsid w:val="000477F2"/>
    <w:rsid w:val="00047BB0"/>
    <w:rsid w:val="000507DB"/>
    <w:rsid w:val="00052D0D"/>
    <w:rsid w:val="00053523"/>
    <w:rsid w:val="000556DF"/>
    <w:rsid w:val="00057B40"/>
    <w:rsid w:val="00057E24"/>
    <w:rsid w:val="00060D47"/>
    <w:rsid w:val="00061943"/>
    <w:rsid w:val="00062188"/>
    <w:rsid w:val="00064E33"/>
    <w:rsid w:val="000666CD"/>
    <w:rsid w:val="00067615"/>
    <w:rsid w:val="000679F9"/>
    <w:rsid w:val="000703DF"/>
    <w:rsid w:val="0007103B"/>
    <w:rsid w:val="00073F69"/>
    <w:rsid w:val="00074243"/>
    <w:rsid w:val="00076D19"/>
    <w:rsid w:val="00080B79"/>
    <w:rsid w:val="00080D67"/>
    <w:rsid w:val="00081339"/>
    <w:rsid w:val="00082866"/>
    <w:rsid w:val="00082D4E"/>
    <w:rsid w:val="00085397"/>
    <w:rsid w:val="00087244"/>
    <w:rsid w:val="000900BC"/>
    <w:rsid w:val="00090A30"/>
    <w:rsid w:val="00090CAA"/>
    <w:rsid w:val="00091792"/>
    <w:rsid w:val="000918CC"/>
    <w:rsid w:val="00091DC9"/>
    <w:rsid w:val="00092521"/>
    <w:rsid w:val="00093DDF"/>
    <w:rsid w:val="00094187"/>
    <w:rsid w:val="0009470A"/>
    <w:rsid w:val="000954A9"/>
    <w:rsid w:val="000965A8"/>
    <w:rsid w:val="00097C7C"/>
    <w:rsid w:val="000A0521"/>
    <w:rsid w:val="000A1BF5"/>
    <w:rsid w:val="000A2944"/>
    <w:rsid w:val="000A3D52"/>
    <w:rsid w:val="000A4C83"/>
    <w:rsid w:val="000B043B"/>
    <w:rsid w:val="000B241D"/>
    <w:rsid w:val="000B3173"/>
    <w:rsid w:val="000B47B1"/>
    <w:rsid w:val="000B5487"/>
    <w:rsid w:val="000B6D55"/>
    <w:rsid w:val="000C25DE"/>
    <w:rsid w:val="000C3055"/>
    <w:rsid w:val="000C3456"/>
    <w:rsid w:val="000C4203"/>
    <w:rsid w:val="000C4626"/>
    <w:rsid w:val="000C65E9"/>
    <w:rsid w:val="000C75BE"/>
    <w:rsid w:val="000C7DE8"/>
    <w:rsid w:val="000D0359"/>
    <w:rsid w:val="000D15FF"/>
    <w:rsid w:val="000D1924"/>
    <w:rsid w:val="000D2ADB"/>
    <w:rsid w:val="000D3F69"/>
    <w:rsid w:val="000D4F0D"/>
    <w:rsid w:val="000D5E41"/>
    <w:rsid w:val="000D69D5"/>
    <w:rsid w:val="000D7E93"/>
    <w:rsid w:val="000E06F8"/>
    <w:rsid w:val="000E7466"/>
    <w:rsid w:val="000E7DD1"/>
    <w:rsid w:val="000F15C6"/>
    <w:rsid w:val="000F2843"/>
    <w:rsid w:val="000F356C"/>
    <w:rsid w:val="000F380A"/>
    <w:rsid w:val="000F3A7C"/>
    <w:rsid w:val="000F4463"/>
    <w:rsid w:val="000F5E10"/>
    <w:rsid w:val="000F6D00"/>
    <w:rsid w:val="0010025D"/>
    <w:rsid w:val="00100B96"/>
    <w:rsid w:val="00100F65"/>
    <w:rsid w:val="0010196F"/>
    <w:rsid w:val="00102EA9"/>
    <w:rsid w:val="00104A44"/>
    <w:rsid w:val="00105136"/>
    <w:rsid w:val="001066FA"/>
    <w:rsid w:val="00106F52"/>
    <w:rsid w:val="0010729C"/>
    <w:rsid w:val="00110F3D"/>
    <w:rsid w:val="00111166"/>
    <w:rsid w:val="001133A2"/>
    <w:rsid w:val="001136F3"/>
    <w:rsid w:val="00114FE7"/>
    <w:rsid w:val="00116635"/>
    <w:rsid w:val="00121842"/>
    <w:rsid w:val="0012191E"/>
    <w:rsid w:val="001222E3"/>
    <w:rsid w:val="00123909"/>
    <w:rsid w:val="0012403D"/>
    <w:rsid w:val="00124972"/>
    <w:rsid w:val="001304EA"/>
    <w:rsid w:val="00131F05"/>
    <w:rsid w:val="00131F53"/>
    <w:rsid w:val="00133978"/>
    <w:rsid w:val="00133C3D"/>
    <w:rsid w:val="001358AE"/>
    <w:rsid w:val="001364A5"/>
    <w:rsid w:val="00137FCA"/>
    <w:rsid w:val="0014052C"/>
    <w:rsid w:val="00140676"/>
    <w:rsid w:val="001408D1"/>
    <w:rsid w:val="00141E60"/>
    <w:rsid w:val="00143208"/>
    <w:rsid w:val="00143C0C"/>
    <w:rsid w:val="00147302"/>
    <w:rsid w:val="0014731B"/>
    <w:rsid w:val="00150086"/>
    <w:rsid w:val="001521EC"/>
    <w:rsid w:val="001524FE"/>
    <w:rsid w:val="001525F9"/>
    <w:rsid w:val="0015271D"/>
    <w:rsid w:val="00153579"/>
    <w:rsid w:val="00153697"/>
    <w:rsid w:val="00155388"/>
    <w:rsid w:val="00155FDA"/>
    <w:rsid w:val="00156A37"/>
    <w:rsid w:val="00157209"/>
    <w:rsid w:val="001575FF"/>
    <w:rsid w:val="00157833"/>
    <w:rsid w:val="00157F66"/>
    <w:rsid w:val="001637C8"/>
    <w:rsid w:val="00164185"/>
    <w:rsid w:val="001652AA"/>
    <w:rsid w:val="00165FBB"/>
    <w:rsid w:val="00166D3C"/>
    <w:rsid w:val="001708F4"/>
    <w:rsid w:val="00171893"/>
    <w:rsid w:val="0017225A"/>
    <w:rsid w:val="00172FF7"/>
    <w:rsid w:val="0017360C"/>
    <w:rsid w:val="00174A11"/>
    <w:rsid w:val="001767D4"/>
    <w:rsid w:val="00176BEB"/>
    <w:rsid w:val="00176F31"/>
    <w:rsid w:val="001819E8"/>
    <w:rsid w:val="00182080"/>
    <w:rsid w:val="00183947"/>
    <w:rsid w:val="001848B5"/>
    <w:rsid w:val="0019051A"/>
    <w:rsid w:val="00191E3B"/>
    <w:rsid w:val="00191F71"/>
    <w:rsid w:val="00191F7F"/>
    <w:rsid w:val="00193C09"/>
    <w:rsid w:val="00194F24"/>
    <w:rsid w:val="00195CC7"/>
    <w:rsid w:val="00195D15"/>
    <w:rsid w:val="00196094"/>
    <w:rsid w:val="001972AE"/>
    <w:rsid w:val="0019771C"/>
    <w:rsid w:val="00197DD7"/>
    <w:rsid w:val="001A0197"/>
    <w:rsid w:val="001A17DF"/>
    <w:rsid w:val="001A1F02"/>
    <w:rsid w:val="001A21A3"/>
    <w:rsid w:val="001A36A8"/>
    <w:rsid w:val="001A5B9E"/>
    <w:rsid w:val="001A732E"/>
    <w:rsid w:val="001B04AC"/>
    <w:rsid w:val="001B282E"/>
    <w:rsid w:val="001B3510"/>
    <w:rsid w:val="001B3FAC"/>
    <w:rsid w:val="001B4777"/>
    <w:rsid w:val="001B5CC8"/>
    <w:rsid w:val="001B6228"/>
    <w:rsid w:val="001B65E7"/>
    <w:rsid w:val="001C0C72"/>
    <w:rsid w:val="001C261C"/>
    <w:rsid w:val="001C3C97"/>
    <w:rsid w:val="001C4D7A"/>
    <w:rsid w:val="001C4E02"/>
    <w:rsid w:val="001C4E54"/>
    <w:rsid w:val="001C61FF"/>
    <w:rsid w:val="001C6920"/>
    <w:rsid w:val="001C6D58"/>
    <w:rsid w:val="001D0187"/>
    <w:rsid w:val="001D1A2F"/>
    <w:rsid w:val="001D2FC5"/>
    <w:rsid w:val="001D379F"/>
    <w:rsid w:val="001D4C64"/>
    <w:rsid w:val="001D5211"/>
    <w:rsid w:val="001D53F9"/>
    <w:rsid w:val="001D59D1"/>
    <w:rsid w:val="001D6058"/>
    <w:rsid w:val="001D68EE"/>
    <w:rsid w:val="001D7C89"/>
    <w:rsid w:val="001E0434"/>
    <w:rsid w:val="001E0FA3"/>
    <w:rsid w:val="001E0FA7"/>
    <w:rsid w:val="001E1344"/>
    <w:rsid w:val="001E169E"/>
    <w:rsid w:val="001E2742"/>
    <w:rsid w:val="001E27EA"/>
    <w:rsid w:val="001E2B71"/>
    <w:rsid w:val="001E4406"/>
    <w:rsid w:val="001E6BEE"/>
    <w:rsid w:val="001E7543"/>
    <w:rsid w:val="001E7B0C"/>
    <w:rsid w:val="001F032C"/>
    <w:rsid w:val="001F1C25"/>
    <w:rsid w:val="001F1E34"/>
    <w:rsid w:val="001F4770"/>
    <w:rsid w:val="001F5F68"/>
    <w:rsid w:val="001F625C"/>
    <w:rsid w:val="001F6499"/>
    <w:rsid w:val="001F7A97"/>
    <w:rsid w:val="00200D43"/>
    <w:rsid w:val="002019CA"/>
    <w:rsid w:val="00201AB6"/>
    <w:rsid w:val="00201D64"/>
    <w:rsid w:val="0020204A"/>
    <w:rsid w:val="00202D9A"/>
    <w:rsid w:val="00203935"/>
    <w:rsid w:val="00203ABB"/>
    <w:rsid w:val="00205737"/>
    <w:rsid w:val="0020588A"/>
    <w:rsid w:val="00205A79"/>
    <w:rsid w:val="00206BD6"/>
    <w:rsid w:val="0020729B"/>
    <w:rsid w:val="002073F5"/>
    <w:rsid w:val="002122B5"/>
    <w:rsid w:val="0021276F"/>
    <w:rsid w:val="00215FE6"/>
    <w:rsid w:val="002200C8"/>
    <w:rsid w:val="002227D1"/>
    <w:rsid w:val="00223544"/>
    <w:rsid w:val="00223E8B"/>
    <w:rsid w:val="002242FD"/>
    <w:rsid w:val="00225267"/>
    <w:rsid w:val="0022615B"/>
    <w:rsid w:val="00230E9D"/>
    <w:rsid w:val="0023122B"/>
    <w:rsid w:val="00231C55"/>
    <w:rsid w:val="002368C4"/>
    <w:rsid w:val="002413DC"/>
    <w:rsid w:val="00242244"/>
    <w:rsid w:val="002435D5"/>
    <w:rsid w:val="00243E99"/>
    <w:rsid w:val="00243EDE"/>
    <w:rsid w:val="00244C2A"/>
    <w:rsid w:val="0024634E"/>
    <w:rsid w:val="002468F2"/>
    <w:rsid w:val="00247A7A"/>
    <w:rsid w:val="00247E55"/>
    <w:rsid w:val="0025046C"/>
    <w:rsid w:val="00250E03"/>
    <w:rsid w:val="00251A1D"/>
    <w:rsid w:val="00252430"/>
    <w:rsid w:val="0025333A"/>
    <w:rsid w:val="00253AC0"/>
    <w:rsid w:val="0025535E"/>
    <w:rsid w:val="00255475"/>
    <w:rsid w:val="00255A11"/>
    <w:rsid w:val="00255C61"/>
    <w:rsid w:val="00255D03"/>
    <w:rsid w:val="00256AAE"/>
    <w:rsid w:val="00257692"/>
    <w:rsid w:val="002637F8"/>
    <w:rsid w:val="002639DB"/>
    <w:rsid w:val="00264C5B"/>
    <w:rsid w:val="002673BE"/>
    <w:rsid w:val="00267445"/>
    <w:rsid w:val="00270CE5"/>
    <w:rsid w:val="00275FA1"/>
    <w:rsid w:val="00277052"/>
    <w:rsid w:val="002778B8"/>
    <w:rsid w:val="00277D77"/>
    <w:rsid w:val="00281B5D"/>
    <w:rsid w:val="00281E8B"/>
    <w:rsid w:val="00284F65"/>
    <w:rsid w:val="002850E3"/>
    <w:rsid w:val="002868C9"/>
    <w:rsid w:val="00286E09"/>
    <w:rsid w:val="00291271"/>
    <w:rsid w:val="00291A89"/>
    <w:rsid w:val="00292E85"/>
    <w:rsid w:val="00294DA2"/>
    <w:rsid w:val="00294FD2"/>
    <w:rsid w:val="002965B1"/>
    <w:rsid w:val="00296A4C"/>
    <w:rsid w:val="002A0692"/>
    <w:rsid w:val="002A06F3"/>
    <w:rsid w:val="002A13EF"/>
    <w:rsid w:val="002A1D1D"/>
    <w:rsid w:val="002A3191"/>
    <w:rsid w:val="002A35DF"/>
    <w:rsid w:val="002A4445"/>
    <w:rsid w:val="002A4B9A"/>
    <w:rsid w:val="002A4D4A"/>
    <w:rsid w:val="002A5427"/>
    <w:rsid w:val="002A54D5"/>
    <w:rsid w:val="002A6B04"/>
    <w:rsid w:val="002A6D13"/>
    <w:rsid w:val="002B03C7"/>
    <w:rsid w:val="002B21AA"/>
    <w:rsid w:val="002B2240"/>
    <w:rsid w:val="002B2262"/>
    <w:rsid w:val="002B2300"/>
    <w:rsid w:val="002B2743"/>
    <w:rsid w:val="002B2844"/>
    <w:rsid w:val="002B33E3"/>
    <w:rsid w:val="002B37DD"/>
    <w:rsid w:val="002B3940"/>
    <w:rsid w:val="002B488E"/>
    <w:rsid w:val="002B502A"/>
    <w:rsid w:val="002B679A"/>
    <w:rsid w:val="002C039D"/>
    <w:rsid w:val="002C0F91"/>
    <w:rsid w:val="002C1509"/>
    <w:rsid w:val="002C19EE"/>
    <w:rsid w:val="002C2733"/>
    <w:rsid w:val="002C2D2F"/>
    <w:rsid w:val="002C321E"/>
    <w:rsid w:val="002C5823"/>
    <w:rsid w:val="002C58A6"/>
    <w:rsid w:val="002C607C"/>
    <w:rsid w:val="002D1DDB"/>
    <w:rsid w:val="002D22BA"/>
    <w:rsid w:val="002D257E"/>
    <w:rsid w:val="002D62ED"/>
    <w:rsid w:val="002D6F83"/>
    <w:rsid w:val="002E1A29"/>
    <w:rsid w:val="002E1E3C"/>
    <w:rsid w:val="002E1FA4"/>
    <w:rsid w:val="002E1FDB"/>
    <w:rsid w:val="002E5460"/>
    <w:rsid w:val="002E5469"/>
    <w:rsid w:val="002E67CE"/>
    <w:rsid w:val="002E786F"/>
    <w:rsid w:val="002F11A9"/>
    <w:rsid w:val="002F4817"/>
    <w:rsid w:val="002F7C58"/>
    <w:rsid w:val="0030071E"/>
    <w:rsid w:val="0030082A"/>
    <w:rsid w:val="003022E9"/>
    <w:rsid w:val="003040C4"/>
    <w:rsid w:val="0030453A"/>
    <w:rsid w:val="0030478B"/>
    <w:rsid w:val="00305123"/>
    <w:rsid w:val="0031093E"/>
    <w:rsid w:val="00310E2D"/>
    <w:rsid w:val="00311268"/>
    <w:rsid w:val="00311CB4"/>
    <w:rsid w:val="00315102"/>
    <w:rsid w:val="00315C20"/>
    <w:rsid w:val="00316819"/>
    <w:rsid w:val="00322046"/>
    <w:rsid w:val="00324328"/>
    <w:rsid w:val="00324922"/>
    <w:rsid w:val="00327729"/>
    <w:rsid w:val="00327AB3"/>
    <w:rsid w:val="00327E19"/>
    <w:rsid w:val="003325E2"/>
    <w:rsid w:val="003327F4"/>
    <w:rsid w:val="00333097"/>
    <w:rsid w:val="003341B2"/>
    <w:rsid w:val="0033605F"/>
    <w:rsid w:val="00336247"/>
    <w:rsid w:val="003362F1"/>
    <w:rsid w:val="00337118"/>
    <w:rsid w:val="00340CE3"/>
    <w:rsid w:val="00341846"/>
    <w:rsid w:val="00343DD5"/>
    <w:rsid w:val="003451E4"/>
    <w:rsid w:val="00346DBF"/>
    <w:rsid w:val="003471B7"/>
    <w:rsid w:val="00347382"/>
    <w:rsid w:val="00350DD3"/>
    <w:rsid w:val="00352366"/>
    <w:rsid w:val="00353128"/>
    <w:rsid w:val="00353D95"/>
    <w:rsid w:val="00353DB7"/>
    <w:rsid w:val="0035692C"/>
    <w:rsid w:val="00357EBE"/>
    <w:rsid w:val="00360245"/>
    <w:rsid w:val="0036051D"/>
    <w:rsid w:val="00363932"/>
    <w:rsid w:val="003646A8"/>
    <w:rsid w:val="0036475A"/>
    <w:rsid w:val="00366CA0"/>
    <w:rsid w:val="00370956"/>
    <w:rsid w:val="00371ADB"/>
    <w:rsid w:val="00371CF8"/>
    <w:rsid w:val="00373798"/>
    <w:rsid w:val="003738EC"/>
    <w:rsid w:val="0037393F"/>
    <w:rsid w:val="00375B94"/>
    <w:rsid w:val="0037682B"/>
    <w:rsid w:val="00376CC6"/>
    <w:rsid w:val="00380450"/>
    <w:rsid w:val="00380A06"/>
    <w:rsid w:val="00380BF8"/>
    <w:rsid w:val="00381BE2"/>
    <w:rsid w:val="003838CB"/>
    <w:rsid w:val="0038658A"/>
    <w:rsid w:val="00387BF8"/>
    <w:rsid w:val="00391FFA"/>
    <w:rsid w:val="00392813"/>
    <w:rsid w:val="00393648"/>
    <w:rsid w:val="003956D3"/>
    <w:rsid w:val="003A00F5"/>
    <w:rsid w:val="003A368F"/>
    <w:rsid w:val="003A50A4"/>
    <w:rsid w:val="003A5C70"/>
    <w:rsid w:val="003A65B2"/>
    <w:rsid w:val="003B13D2"/>
    <w:rsid w:val="003B38CD"/>
    <w:rsid w:val="003B58FB"/>
    <w:rsid w:val="003B77B1"/>
    <w:rsid w:val="003C3DAF"/>
    <w:rsid w:val="003C76A3"/>
    <w:rsid w:val="003C7841"/>
    <w:rsid w:val="003D18E0"/>
    <w:rsid w:val="003D1E0A"/>
    <w:rsid w:val="003D2F51"/>
    <w:rsid w:val="003D40E0"/>
    <w:rsid w:val="003D411D"/>
    <w:rsid w:val="003D4EF6"/>
    <w:rsid w:val="003D6740"/>
    <w:rsid w:val="003D689F"/>
    <w:rsid w:val="003D7079"/>
    <w:rsid w:val="003D7448"/>
    <w:rsid w:val="003D7A40"/>
    <w:rsid w:val="003D7B81"/>
    <w:rsid w:val="003D7D3D"/>
    <w:rsid w:val="003E1801"/>
    <w:rsid w:val="003E2077"/>
    <w:rsid w:val="003E24CA"/>
    <w:rsid w:val="003E413E"/>
    <w:rsid w:val="003E4CA1"/>
    <w:rsid w:val="003E4DF4"/>
    <w:rsid w:val="003E5F09"/>
    <w:rsid w:val="003E78ED"/>
    <w:rsid w:val="003F2727"/>
    <w:rsid w:val="003F4B4D"/>
    <w:rsid w:val="003F58D8"/>
    <w:rsid w:val="003F71A6"/>
    <w:rsid w:val="00400CC6"/>
    <w:rsid w:val="00401846"/>
    <w:rsid w:val="00403226"/>
    <w:rsid w:val="004044DA"/>
    <w:rsid w:val="00404B2E"/>
    <w:rsid w:val="004057E1"/>
    <w:rsid w:val="004058A5"/>
    <w:rsid w:val="00405BF5"/>
    <w:rsid w:val="00411EEA"/>
    <w:rsid w:val="00414821"/>
    <w:rsid w:val="00417E32"/>
    <w:rsid w:val="00420B92"/>
    <w:rsid w:val="00423685"/>
    <w:rsid w:val="00424449"/>
    <w:rsid w:val="00424B49"/>
    <w:rsid w:val="00427EEF"/>
    <w:rsid w:val="00431C7A"/>
    <w:rsid w:val="0043251B"/>
    <w:rsid w:val="00434477"/>
    <w:rsid w:val="004373F4"/>
    <w:rsid w:val="004405FA"/>
    <w:rsid w:val="004418C3"/>
    <w:rsid w:val="00441E76"/>
    <w:rsid w:val="004434E6"/>
    <w:rsid w:val="00443B29"/>
    <w:rsid w:val="0044469E"/>
    <w:rsid w:val="00444A0E"/>
    <w:rsid w:val="0044569E"/>
    <w:rsid w:val="004468E1"/>
    <w:rsid w:val="00451201"/>
    <w:rsid w:val="004512F6"/>
    <w:rsid w:val="00451443"/>
    <w:rsid w:val="00452026"/>
    <w:rsid w:val="00452802"/>
    <w:rsid w:val="004532A3"/>
    <w:rsid w:val="004542C4"/>
    <w:rsid w:val="004564CE"/>
    <w:rsid w:val="004571A0"/>
    <w:rsid w:val="00460960"/>
    <w:rsid w:val="00460AB4"/>
    <w:rsid w:val="00461992"/>
    <w:rsid w:val="00461D3D"/>
    <w:rsid w:val="004627CF"/>
    <w:rsid w:val="004634BE"/>
    <w:rsid w:val="0046466F"/>
    <w:rsid w:val="00464996"/>
    <w:rsid w:val="00465194"/>
    <w:rsid w:val="004667F7"/>
    <w:rsid w:val="00472D13"/>
    <w:rsid w:val="004741C7"/>
    <w:rsid w:val="00474ABE"/>
    <w:rsid w:val="0047502B"/>
    <w:rsid w:val="00476C3F"/>
    <w:rsid w:val="00476ED8"/>
    <w:rsid w:val="00477117"/>
    <w:rsid w:val="004776C2"/>
    <w:rsid w:val="00480F9E"/>
    <w:rsid w:val="004811B6"/>
    <w:rsid w:val="00481FF7"/>
    <w:rsid w:val="0048385F"/>
    <w:rsid w:val="00483C85"/>
    <w:rsid w:val="00484D2A"/>
    <w:rsid w:val="00486204"/>
    <w:rsid w:val="00486809"/>
    <w:rsid w:val="00486FC2"/>
    <w:rsid w:val="004870C8"/>
    <w:rsid w:val="00490D83"/>
    <w:rsid w:val="00491951"/>
    <w:rsid w:val="004935F3"/>
    <w:rsid w:val="00493C9C"/>
    <w:rsid w:val="004949DC"/>
    <w:rsid w:val="00495A20"/>
    <w:rsid w:val="00495D03"/>
    <w:rsid w:val="00495E98"/>
    <w:rsid w:val="0049671F"/>
    <w:rsid w:val="00496D76"/>
    <w:rsid w:val="004974E9"/>
    <w:rsid w:val="004A4A3B"/>
    <w:rsid w:val="004A7B19"/>
    <w:rsid w:val="004B0EE5"/>
    <w:rsid w:val="004B15EA"/>
    <w:rsid w:val="004B2CEE"/>
    <w:rsid w:val="004B30EE"/>
    <w:rsid w:val="004B348C"/>
    <w:rsid w:val="004B35D5"/>
    <w:rsid w:val="004B4398"/>
    <w:rsid w:val="004B611E"/>
    <w:rsid w:val="004B780D"/>
    <w:rsid w:val="004B7EDD"/>
    <w:rsid w:val="004C2845"/>
    <w:rsid w:val="004C4DDD"/>
    <w:rsid w:val="004C50B3"/>
    <w:rsid w:val="004C622A"/>
    <w:rsid w:val="004D13D1"/>
    <w:rsid w:val="004D25F9"/>
    <w:rsid w:val="004D45C1"/>
    <w:rsid w:val="004D47DE"/>
    <w:rsid w:val="004D598C"/>
    <w:rsid w:val="004D5ABA"/>
    <w:rsid w:val="004D673E"/>
    <w:rsid w:val="004E139E"/>
    <w:rsid w:val="004E30F9"/>
    <w:rsid w:val="004E3C79"/>
    <w:rsid w:val="004E694C"/>
    <w:rsid w:val="004E6AB7"/>
    <w:rsid w:val="004E7843"/>
    <w:rsid w:val="004F10E6"/>
    <w:rsid w:val="004F11B1"/>
    <w:rsid w:val="004F1374"/>
    <w:rsid w:val="004F350D"/>
    <w:rsid w:val="004F373A"/>
    <w:rsid w:val="004F3F7B"/>
    <w:rsid w:val="004F445A"/>
    <w:rsid w:val="004F7402"/>
    <w:rsid w:val="005013F5"/>
    <w:rsid w:val="00501A98"/>
    <w:rsid w:val="00503C11"/>
    <w:rsid w:val="00504F19"/>
    <w:rsid w:val="00505672"/>
    <w:rsid w:val="005100FF"/>
    <w:rsid w:val="00510267"/>
    <w:rsid w:val="0051028D"/>
    <w:rsid w:val="0051120A"/>
    <w:rsid w:val="00512AD0"/>
    <w:rsid w:val="00513580"/>
    <w:rsid w:val="00516FB1"/>
    <w:rsid w:val="00520C52"/>
    <w:rsid w:val="00522191"/>
    <w:rsid w:val="0052255A"/>
    <w:rsid w:val="00523190"/>
    <w:rsid w:val="00525770"/>
    <w:rsid w:val="005258FD"/>
    <w:rsid w:val="00527093"/>
    <w:rsid w:val="00531A29"/>
    <w:rsid w:val="005321DB"/>
    <w:rsid w:val="005334DF"/>
    <w:rsid w:val="005338E7"/>
    <w:rsid w:val="0053548B"/>
    <w:rsid w:val="005362E1"/>
    <w:rsid w:val="00536822"/>
    <w:rsid w:val="00536B99"/>
    <w:rsid w:val="00537D15"/>
    <w:rsid w:val="00541B5D"/>
    <w:rsid w:val="00541FAD"/>
    <w:rsid w:val="00544536"/>
    <w:rsid w:val="0054727A"/>
    <w:rsid w:val="00547461"/>
    <w:rsid w:val="00547506"/>
    <w:rsid w:val="005510DC"/>
    <w:rsid w:val="00552079"/>
    <w:rsid w:val="00553850"/>
    <w:rsid w:val="005541FF"/>
    <w:rsid w:val="00554312"/>
    <w:rsid w:val="00554738"/>
    <w:rsid w:val="0055578D"/>
    <w:rsid w:val="00556FCF"/>
    <w:rsid w:val="00560120"/>
    <w:rsid w:val="00561A1A"/>
    <w:rsid w:val="00561D7C"/>
    <w:rsid w:val="00561EEC"/>
    <w:rsid w:val="005623AA"/>
    <w:rsid w:val="00562814"/>
    <w:rsid w:val="00562FE7"/>
    <w:rsid w:val="0056572C"/>
    <w:rsid w:val="00565E3D"/>
    <w:rsid w:val="00566ACA"/>
    <w:rsid w:val="00567D30"/>
    <w:rsid w:val="005718DA"/>
    <w:rsid w:val="005728CE"/>
    <w:rsid w:val="00572C1B"/>
    <w:rsid w:val="00573709"/>
    <w:rsid w:val="00573A24"/>
    <w:rsid w:val="00573FCD"/>
    <w:rsid w:val="00573FE4"/>
    <w:rsid w:val="0057465C"/>
    <w:rsid w:val="00574CFD"/>
    <w:rsid w:val="005753A5"/>
    <w:rsid w:val="00575EE6"/>
    <w:rsid w:val="00577E73"/>
    <w:rsid w:val="005802F6"/>
    <w:rsid w:val="005813F4"/>
    <w:rsid w:val="00581943"/>
    <w:rsid w:val="00581FD9"/>
    <w:rsid w:val="00582A54"/>
    <w:rsid w:val="00582C03"/>
    <w:rsid w:val="00582D7E"/>
    <w:rsid w:val="00583A83"/>
    <w:rsid w:val="00583B8B"/>
    <w:rsid w:val="00585967"/>
    <w:rsid w:val="00587991"/>
    <w:rsid w:val="00587E98"/>
    <w:rsid w:val="0059072F"/>
    <w:rsid w:val="00592487"/>
    <w:rsid w:val="005950B9"/>
    <w:rsid w:val="005968D6"/>
    <w:rsid w:val="00597CF1"/>
    <w:rsid w:val="00597D67"/>
    <w:rsid w:val="005A2C75"/>
    <w:rsid w:val="005A30AC"/>
    <w:rsid w:val="005A5647"/>
    <w:rsid w:val="005A5ACC"/>
    <w:rsid w:val="005A65EA"/>
    <w:rsid w:val="005A68BA"/>
    <w:rsid w:val="005A6D7C"/>
    <w:rsid w:val="005A7879"/>
    <w:rsid w:val="005A7A3C"/>
    <w:rsid w:val="005B082F"/>
    <w:rsid w:val="005B151C"/>
    <w:rsid w:val="005B168D"/>
    <w:rsid w:val="005B2265"/>
    <w:rsid w:val="005B3462"/>
    <w:rsid w:val="005B4838"/>
    <w:rsid w:val="005B48C6"/>
    <w:rsid w:val="005C24F2"/>
    <w:rsid w:val="005C252B"/>
    <w:rsid w:val="005C3307"/>
    <w:rsid w:val="005C3415"/>
    <w:rsid w:val="005C39A0"/>
    <w:rsid w:val="005C48CB"/>
    <w:rsid w:val="005C49B9"/>
    <w:rsid w:val="005C57F4"/>
    <w:rsid w:val="005C6476"/>
    <w:rsid w:val="005C69CB"/>
    <w:rsid w:val="005C786C"/>
    <w:rsid w:val="005D0068"/>
    <w:rsid w:val="005D0527"/>
    <w:rsid w:val="005D0D87"/>
    <w:rsid w:val="005D0F65"/>
    <w:rsid w:val="005D1982"/>
    <w:rsid w:val="005D2E20"/>
    <w:rsid w:val="005D433D"/>
    <w:rsid w:val="005D4EF5"/>
    <w:rsid w:val="005D5345"/>
    <w:rsid w:val="005D792D"/>
    <w:rsid w:val="005E0E22"/>
    <w:rsid w:val="005E2D11"/>
    <w:rsid w:val="005E3FB9"/>
    <w:rsid w:val="005E482E"/>
    <w:rsid w:val="005E4CFD"/>
    <w:rsid w:val="005E579B"/>
    <w:rsid w:val="005E7F9B"/>
    <w:rsid w:val="005F2AC2"/>
    <w:rsid w:val="005F3D08"/>
    <w:rsid w:val="005F4B20"/>
    <w:rsid w:val="005F545B"/>
    <w:rsid w:val="005F70BE"/>
    <w:rsid w:val="005F7F18"/>
    <w:rsid w:val="006002CC"/>
    <w:rsid w:val="006015F3"/>
    <w:rsid w:val="00602BF3"/>
    <w:rsid w:val="00606984"/>
    <w:rsid w:val="00607AE2"/>
    <w:rsid w:val="00614282"/>
    <w:rsid w:val="006151A5"/>
    <w:rsid w:val="006160FC"/>
    <w:rsid w:val="00616FB0"/>
    <w:rsid w:val="006213DF"/>
    <w:rsid w:val="006220DD"/>
    <w:rsid w:val="00622482"/>
    <w:rsid w:val="00623A36"/>
    <w:rsid w:val="006245B1"/>
    <w:rsid w:val="006251B9"/>
    <w:rsid w:val="0062795B"/>
    <w:rsid w:val="00627EFB"/>
    <w:rsid w:val="00630033"/>
    <w:rsid w:val="006353DB"/>
    <w:rsid w:val="006362C6"/>
    <w:rsid w:val="00640397"/>
    <w:rsid w:val="00642156"/>
    <w:rsid w:val="0064404D"/>
    <w:rsid w:val="00646EDD"/>
    <w:rsid w:val="006477CD"/>
    <w:rsid w:val="00647868"/>
    <w:rsid w:val="006502C1"/>
    <w:rsid w:val="00651341"/>
    <w:rsid w:val="00651B26"/>
    <w:rsid w:val="00652109"/>
    <w:rsid w:val="006538A7"/>
    <w:rsid w:val="006550B1"/>
    <w:rsid w:val="006554D8"/>
    <w:rsid w:val="006556F3"/>
    <w:rsid w:val="00656067"/>
    <w:rsid w:val="0065792E"/>
    <w:rsid w:val="00660BF6"/>
    <w:rsid w:val="00664842"/>
    <w:rsid w:val="00667033"/>
    <w:rsid w:val="0066726B"/>
    <w:rsid w:val="006674A0"/>
    <w:rsid w:val="0067182C"/>
    <w:rsid w:val="0067269B"/>
    <w:rsid w:val="00672FA1"/>
    <w:rsid w:val="00673078"/>
    <w:rsid w:val="00673FB7"/>
    <w:rsid w:val="00675195"/>
    <w:rsid w:val="00675CEE"/>
    <w:rsid w:val="006760E2"/>
    <w:rsid w:val="0067637D"/>
    <w:rsid w:val="00676C39"/>
    <w:rsid w:val="0068090F"/>
    <w:rsid w:val="006811F4"/>
    <w:rsid w:val="00685B11"/>
    <w:rsid w:val="00687746"/>
    <w:rsid w:val="0069003D"/>
    <w:rsid w:val="006916BB"/>
    <w:rsid w:val="00692214"/>
    <w:rsid w:val="00693166"/>
    <w:rsid w:val="00693B98"/>
    <w:rsid w:val="00694058"/>
    <w:rsid w:val="006A0808"/>
    <w:rsid w:val="006A0FDF"/>
    <w:rsid w:val="006A11AA"/>
    <w:rsid w:val="006A1AE0"/>
    <w:rsid w:val="006A2A9A"/>
    <w:rsid w:val="006A498D"/>
    <w:rsid w:val="006A59E0"/>
    <w:rsid w:val="006B031F"/>
    <w:rsid w:val="006B0B17"/>
    <w:rsid w:val="006B0FB5"/>
    <w:rsid w:val="006B2905"/>
    <w:rsid w:val="006B55CA"/>
    <w:rsid w:val="006B5A2B"/>
    <w:rsid w:val="006B6422"/>
    <w:rsid w:val="006B70D3"/>
    <w:rsid w:val="006B7C8F"/>
    <w:rsid w:val="006C0E9D"/>
    <w:rsid w:val="006C0F1D"/>
    <w:rsid w:val="006C110A"/>
    <w:rsid w:val="006C460A"/>
    <w:rsid w:val="006C4D59"/>
    <w:rsid w:val="006C4EBC"/>
    <w:rsid w:val="006C5D47"/>
    <w:rsid w:val="006C67BC"/>
    <w:rsid w:val="006D05A8"/>
    <w:rsid w:val="006D1C7B"/>
    <w:rsid w:val="006D293D"/>
    <w:rsid w:val="006D2FEA"/>
    <w:rsid w:val="006D4544"/>
    <w:rsid w:val="006D4E66"/>
    <w:rsid w:val="006D5FD2"/>
    <w:rsid w:val="006D6051"/>
    <w:rsid w:val="006D633A"/>
    <w:rsid w:val="006D70EF"/>
    <w:rsid w:val="006D7E68"/>
    <w:rsid w:val="006E2531"/>
    <w:rsid w:val="006E37A1"/>
    <w:rsid w:val="006E4A37"/>
    <w:rsid w:val="006E50D0"/>
    <w:rsid w:val="006E6071"/>
    <w:rsid w:val="006E6138"/>
    <w:rsid w:val="006E617A"/>
    <w:rsid w:val="006E628F"/>
    <w:rsid w:val="006E6664"/>
    <w:rsid w:val="006E7149"/>
    <w:rsid w:val="006F1D31"/>
    <w:rsid w:val="006F2C58"/>
    <w:rsid w:val="006F35FB"/>
    <w:rsid w:val="006F38C6"/>
    <w:rsid w:val="006F3937"/>
    <w:rsid w:val="006F3B50"/>
    <w:rsid w:val="006F471C"/>
    <w:rsid w:val="006F6F5C"/>
    <w:rsid w:val="00700185"/>
    <w:rsid w:val="007018E7"/>
    <w:rsid w:val="00704985"/>
    <w:rsid w:val="00705586"/>
    <w:rsid w:val="007058C1"/>
    <w:rsid w:val="0070670D"/>
    <w:rsid w:val="00706D78"/>
    <w:rsid w:val="007076AD"/>
    <w:rsid w:val="007101C0"/>
    <w:rsid w:val="00710276"/>
    <w:rsid w:val="00710456"/>
    <w:rsid w:val="00710D49"/>
    <w:rsid w:val="00712AE7"/>
    <w:rsid w:val="0071313E"/>
    <w:rsid w:val="007136F6"/>
    <w:rsid w:val="007160D3"/>
    <w:rsid w:val="0071697C"/>
    <w:rsid w:val="00716B8B"/>
    <w:rsid w:val="00720251"/>
    <w:rsid w:val="007214F9"/>
    <w:rsid w:val="00721BB9"/>
    <w:rsid w:val="0072494D"/>
    <w:rsid w:val="00724E7C"/>
    <w:rsid w:val="00726CFF"/>
    <w:rsid w:val="0073364D"/>
    <w:rsid w:val="00733F12"/>
    <w:rsid w:val="007342AF"/>
    <w:rsid w:val="00734B69"/>
    <w:rsid w:val="00734CCC"/>
    <w:rsid w:val="00735BAA"/>
    <w:rsid w:val="00737652"/>
    <w:rsid w:val="00737B90"/>
    <w:rsid w:val="00737F2F"/>
    <w:rsid w:val="00740738"/>
    <w:rsid w:val="007416EA"/>
    <w:rsid w:val="00742186"/>
    <w:rsid w:val="00742FAF"/>
    <w:rsid w:val="00743807"/>
    <w:rsid w:val="007440B6"/>
    <w:rsid w:val="0074474B"/>
    <w:rsid w:val="00745551"/>
    <w:rsid w:val="0074598D"/>
    <w:rsid w:val="00746C77"/>
    <w:rsid w:val="00747984"/>
    <w:rsid w:val="00750FFF"/>
    <w:rsid w:val="007511A0"/>
    <w:rsid w:val="007520D5"/>
    <w:rsid w:val="0075298F"/>
    <w:rsid w:val="00752A0F"/>
    <w:rsid w:val="007533AC"/>
    <w:rsid w:val="00755B21"/>
    <w:rsid w:val="00755BE4"/>
    <w:rsid w:val="007566F1"/>
    <w:rsid w:val="00756DD0"/>
    <w:rsid w:val="00757F0D"/>
    <w:rsid w:val="00760D41"/>
    <w:rsid w:val="0076529A"/>
    <w:rsid w:val="007661F5"/>
    <w:rsid w:val="0076754F"/>
    <w:rsid w:val="007703AE"/>
    <w:rsid w:val="00772982"/>
    <w:rsid w:val="00774025"/>
    <w:rsid w:val="00774C5B"/>
    <w:rsid w:val="00775F45"/>
    <w:rsid w:val="00777AB0"/>
    <w:rsid w:val="00780F55"/>
    <w:rsid w:val="007815B2"/>
    <w:rsid w:val="00782250"/>
    <w:rsid w:val="00782EB4"/>
    <w:rsid w:val="007832AF"/>
    <w:rsid w:val="007861C1"/>
    <w:rsid w:val="00790C72"/>
    <w:rsid w:val="007915BF"/>
    <w:rsid w:val="0079333C"/>
    <w:rsid w:val="00793DFC"/>
    <w:rsid w:val="00795ACC"/>
    <w:rsid w:val="00796A2F"/>
    <w:rsid w:val="00796A64"/>
    <w:rsid w:val="007A0AE3"/>
    <w:rsid w:val="007A2502"/>
    <w:rsid w:val="007A2F3A"/>
    <w:rsid w:val="007A38A5"/>
    <w:rsid w:val="007A5691"/>
    <w:rsid w:val="007A736E"/>
    <w:rsid w:val="007A739E"/>
    <w:rsid w:val="007A74E2"/>
    <w:rsid w:val="007A7581"/>
    <w:rsid w:val="007A782D"/>
    <w:rsid w:val="007A7861"/>
    <w:rsid w:val="007A7A13"/>
    <w:rsid w:val="007A7FD4"/>
    <w:rsid w:val="007B1F5F"/>
    <w:rsid w:val="007B3A0B"/>
    <w:rsid w:val="007B3AE3"/>
    <w:rsid w:val="007B3D7D"/>
    <w:rsid w:val="007B4715"/>
    <w:rsid w:val="007B49D1"/>
    <w:rsid w:val="007B5B2A"/>
    <w:rsid w:val="007B74A8"/>
    <w:rsid w:val="007B772F"/>
    <w:rsid w:val="007C0BC6"/>
    <w:rsid w:val="007C162B"/>
    <w:rsid w:val="007C38BB"/>
    <w:rsid w:val="007C5AF2"/>
    <w:rsid w:val="007C6598"/>
    <w:rsid w:val="007C6B32"/>
    <w:rsid w:val="007C6CB0"/>
    <w:rsid w:val="007C6CB3"/>
    <w:rsid w:val="007C6D1B"/>
    <w:rsid w:val="007C7166"/>
    <w:rsid w:val="007D0949"/>
    <w:rsid w:val="007D1D68"/>
    <w:rsid w:val="007D3471"/>
    <w:rsid w:val="007D5648"/>
    <w:rsid w:val="007D5A60"/>
    <w:rsid w:val="007D5FA7"/>
    <w:rsid w:val="007D748F"/>
    <w:rsid w:val="007D7D0A"/>
    <w:rsid w:val="007E1427"/>
    <w:rsid w:val="007E1A82"/>
    <w:rsid w:val="007E2EA3"/>
    <w:rsid w:val="007E3605"/>
    <w:rsid w:val="007E3AF1"/>
    <w:rsid w:val="007E541C"/>
    <w:rsid w:val="007E56AF"/>
    <w:rsid w:val="007E625B"/>
    <w:rsid w:val="007F0CE0"/>
    <w:rsid w:val="007F1F83"/>
    <w:rsid w:val="007F210C"/>
    <w:rsid w:val="007F2D50"/>
    <w:rsid w:val="007F2E7D"/>
    <w:rsid w:val="007F4DCF"/>
    <w:rsid w:val="007F594A"/>
    <w:rsid w:val="007F5AD0"/>
    <w:rsid w:val="007F6530"/>
    <w:rsid w:val="007F6E1F"/>
    <w:rsid w:val="00800915"/>
    <w:rsid w:val="00801DCD"/>
    <w:rsid w:val="00802454"/>
    <w:rsid w:val="008031DA"/>
    <w:rsid w:val="00804427"/>
    <w:rsid w:val="00806776"/>
    <w:rsid w:val="00806FFE"/>
    <w:rsid w:val="00807D94"/>
    <w:rsid w:val="008101C8"/>
    <w:rsid w:val="00811F58"/>
    <w:rsid w:val="00812B45"/>
    <w:rsid w:val="00813237"/>
    <w:rsid w:val="00813C16"/>
    <w:rsid w:val="00814588"/>
    <w:rsid w:val="00815474"/>
    <w:rsid w:val="00815F14"/>
    <w:rsid w:val="00817C75"/>
    <w:rsid w:val="00820AF8"/>
    <w:rsid w:val="00821189"/>
    <w:rsid w:val="00821AE9"/>
    <w:rsid w:val="00822096"/>
    <w:rsid w:val="008237B5"/>
    <w:rsid w:val="00823D90"/>
    <w:rsid w:val="008240D6"/>
    <w:rsid w:val="00824498"/>
    <w:rsid w:val="008244B0"/>
    <w:rsid w:val="008249A5"/>
    <w:rsid w:val="00825842"/>
    <w:rsid w:val="00825ACB"/>
    <w:rsid w:val="00827187"/>
    <w:rsid w:val="008307F4"/>
    <w:rsid w:val="00831017"/>
    <w:rsid w:val="00832320"/>
    <w:rsid w:val="00832872"/>
    <w:rsid w:val="00832B2C"/>
    <w:rsid w:val="0083413C"/>
    <w:rsid w:val="00834639"/>
    <w:rsid w:val="00835231"/>
    <w:rsid w:val="0083602D"/>
    <w:rsid w:val="008370AA"/>
    <w:rsid w:val="00840B35"/>
    <w:rsid w:val="008429EA"/>
    <w:rsid w:val="00842AFC"/>
    <w:rsid w:val="00842CEA"/>
    <w:rsid w:val="00844504"/>
    <w:rsid w:val="00844B9F"/>
    <w:rsid w:val="00844DDD"/>
    <w:rsid w:val="00844FBF"/>
    <w:rsid w:val="008452E5"/>
    <w:rsid w:val="00847741"/>
    <w:rsid w:val="0085127E"/>
    <w:rsid w:val="00851D03"/>
    <w:rsid w:val="008521B8"/>
    <w:rsid w:val="00853BF4"/>
    <w:rsid w:val="00854471"/>
    <w:rsid w:val="00854504"/>
    <w:rsid w:val="00855154"/>
    <w:rsid w:val="008559CD"/>
    <w:rsid w:val="00855B51"/>
    <w:rsid w:val="00855C22"/>
    <w:rsid w:val="00856701"/>
    <w:rsid w:val="00860BC6"/>
    <w:rsid w:val="008630B9"/>
    <w:rsid w:val="0086397E"/>
    <w:rsid w:val="00863D22"/>
    <w:rsid w:val="008658FD"/>
    <w:rsid w:val="008661FF"/>
    <w:rsid w:val="0086663A"/>
    <w:rsid w:val="00867191"/>
    <w:rsid w:val="00867234"/>
    <w:rsid w:val="00867631"/>
    <w:rsid w:val="00871838"/>
    <w:rsid w:val="00871DF0"/>
    <w:rsid w:val="00872045"/>
    <w:rsid w:val="00872859"/>
    <w:rsid w:val="008736F5"/>
    <w:rsid w:val="0087529B"/>
    <w:rsid w:val="0087562E"/>
    <w:rsid w:val="00880394"/>
    <w:rsid w:val="00880F34"/>
    <w:rsid w:val="00880F53"/>
    <w:rsid w:val="008832B1"/>
    <w:rsid w:val="00887674"/>
    <w:rsid w:val="00887B2E"/>
    <w:rsid w:val="008905D1"/>
    <w:rsid w:val="008906E0"/>
    <w:rsid w:val="00890C83"/>
    <w:rsid w:val="00891BA3"/>
    <w:rsid w:val="00892DDF"/>
    <w:rsid w:val="00893ED9"/>
    <w:rsid w:val="0089402A"/>
    <w:rsid w:val="0089490A"/>
    <w:rsid w:val="00894A80"/>
    <w:rsid w:val="0089573E"/>
    <w:rsid w:val="00895FD0"/>
    <w:rsid w:val="0089641B"/>
    <w:rsid w:val="00896A9D"/>
    <w:rsid w:val="00897D9A"/>
    <w:rsid w:val="008A00B9"/>
    <w:rsid w:val="008A1718"/>
    <w:rsid w:val="008A27F6"/>
    <w:rsid w:val="008A3577"/>
    <w:rsid w:val="008A38AF"/>
    <w:rsid w:val="008A3BC0"/>
    <w:rsid w:val="008A5A0E"/>
    <w:rsid w:val="008A5E28"/>
    <w:rsid w:val="008A6C0B"/>
    <w:rsid w:val="008A70A1"/>
    <w:rsid w:val="008B0D93"/>
    <w:rsid w:val="008B178E"/>
    <w:rsid w:val="008B2672"/>
    <w:rsid w:val="008B32A7"/>
    <w:rsid w:val="008B3F28"/>
    <w:rsid w:val="008B547E"/>
    <w:rsid w:val="008B5956"/>
    <w:rsid w:val="008B6332"/>
    <w:rsid w:val="008B7488"/>
    <w:rsid w:val="008C04B7"/>
    <w:rsid w:val="008C0932"/>
    <w:rsid w:val="008C59AC"/>
    <w:rsid w:val="008C724A"/>
    <w:rsid w:val="008D11F6"/>
    <w:rsid w:val="008D1302"/>
    <w:rsid w:val="008D1AD5"/>
    <w:rsid w:val="008D4289"/>
    <w:rsid w:val="008D4C43"/>
    <w:rsid w:val="008D4F86"/>
    <w:rsid w:val="008D5566"/>
    <w:rsid w:val="008D67BF"/>
    <w:rsid w:val="008D705D"/>
    <w:rsid w:val="008E04BB"/>
    <w:rsid w:val="008E114C"/>
    <w:rsid w:val="008E13EE"/>
    <w:rsid w:val="008E1D74"/>
    <w:rsid w:val="008E22D0"/>
    <w:rsid w:val="008E2B40"/>
    <w:rsid w:val="008E30B5"/>
    <w:rsid w:val="008E5B8B"/>
    <w:rsid w:val="008E6A45"/>
    <w:rsid w:val="008E7E97"/>
    <w:rsid w:val="008F1772"/>
    <w:rsid w:val="008F1D9C"/>
    <w:rsid w:val="008F21F3"/>
    <w:rsid w:val="008F297C"/>
    <w:rsid w:val="008F3854"/>
    <w:rsid w:val="008F4200"/>
    <w:rsid w:val="008F551F"/>
    <w:rsid w:val="008F6F6A"/>
    <w:rsid w:val="00900BF4"/>
    <w:rsid w:val="009014B0"/>
    <w:rsid w:val="0090295D"/>
    <w:rsid w:val="00903510"/>
    <w:rsid w:val="009048C1"/>
    <w:rsid w:val="00904F9B"/>
    <w:rsid w:val="009061FB"/>
    <w:rsid w:val="00906FA3"/>
    <w:rsid w:val="00907214"/>
    <w:rsid w:val="00912146"/>
    <w:rsid w:val="00913025"/>
    <w:rsid w:val="009161D1"/>
    <w:rsid w:val="00917257"/>
    <w:rsid w:val="0091745C"/>
    <w:rsid w:val="0092245E"/>
    <w:rsid w:val="0092343B"/>
    <w:rsid w:val="00924842"/>
    <w:rsid w:val="00924FDC"/>
    <w:rsid w:val="00925DC2"/>
    <w:rsid w:val="00925FFF"/>
    <w:rsid w:val="00927850"/>
    <w:rsid w:val="00931B34"/>
    <w:rsid w:val="0093314B"/>
    <w:rsid w:val="0093346B"/>
    <w:rsid w:val="009342FE"/>
    <w:rsid w:val="009348FF"/>
    <w:rsid w:val="00934C73"/>
    <w:rsid w:val="00934E96"/>
    <w:rsid w:val="00942218"/>
    <w:rsid w:val="009425A5"/>
    <w:rsid w:val="0094273C"/>
    <w:rsid w:val="00942B29"/>
    <w:rsid w:val="009447CD"/>
    <w:rsid w:val="0094545C"/>
    <w:rsid w:val="00945BB3"/>
    <w:rsid w:val="00946212"/>
    <w:rsid w:val="00950396"/>
    <w:rsid w:val="00951B85"/>
    <w:rsid w:val="00951EB9"/>
    <w:rsid w:val="0095312D"/>
    <w:rsid w:val="00954454"/>
    <w:rsid w:val="0095673E"/>
    <w:rsid w:val="00960357"/>
    <w:rsid w:val="009607E5"/>
    <w:rsid w:val="009615CC"/>
    <w:rsid w:val="00962D8C"/>
    <w:rsid w:val="00963899"/>
    <w:rsid w:val="0096400E"/>
    <w:rsid w:val="00964EB2"/>
    <w:rsid w:val="0096744C"/>
    <w:rsid w:val="009676DA"/>
    <w:rsid w:val="009716BC"/>
    <w:rsid w:val="00973460"/>
    <w:rsid w:val="00973C58"/>
    <w:rsid w:val="0097400F"/>
    <w:rsid w:val="00974587"/>
    <w:rsid w:val="00975D4D"/>
    <w:rsid w:val="0097691B"/>
    <w:rsid w:val="00976DC2"/>
    <w:rsid w:val="009808B6"/>
    <w:rsid w:val="009809C0"/>
    <w:rsid w:val="00980CE8"/>
    <w:rsid w:val="009814CF"/>
    <w:rsid w:val="00982A33"/>
    <w:rsid w:val="00985363"/>
    <w:rsid w:val="009863B5"/>
    <w:rsid w:val="00991205"/>
    <w:rsid w:val="00992D03"/>
    <w:rsid w:val="00995FD5"/>
    <w:rsid w:val="009967DD"/>
    <w:rsid w:val="00996DC2"/>
    <w:rsid w:val="009A1FEB"/>
    <w:rsid w:val="009A2068"/>
    <w:rsid w:val="009A40EF"/>
    <w:rsid w:val="009A49B5"/>
    <w:rsid w:val="009A4A6B"/>
    <w:rsid w:val="009A72D4"/>
    <w:rsid w:val="009A7BE5"/>
    <w:rsid w:val="009B072F"/>
    <w:rsid w:val="009B0F9E"/>
    <w:rsid w:val="009B112C"/>
    <w:rsid w:val="009B18AA"/>
    <w:rsid w:val="009B2045"/>
    <w:rsid w:val="009B2DD9"/>
    <w:rsid w:val="009B31C9"/>
    <w:rsid w:val="009B4A81"/>
    <w:rsid w:val="009B4C54"/>
    <w:rsid w:val="009B5745"/>
    <w:rsid w:val="009B7083"/>
    <w:rsid w:val="009C0491"/>
    <w:rsid w:val="009C06DE"/>
    <w:rsid w:val="009C0851"/>
    <w:rsid w:val="009C2C7D"/>
    <w:rsid w:val="009C3A5E"/>
    <w:rsid w:val="009C3F0E"/>
    <w:rsid w:val="009C57E3"/>
    <w:rsid w:val="009C6460"/>
    <w:rsid w:val="009C6E48"/>
    <w:rsid w:val="009D1C89"/>
    <w:rsid w:val="009D42A3"/>
    <w:rsid w:val="009D437D"/>
    <w:rsid w:val="009D4C0D"/>
    <w:rsid w:val="009D6311"/>
    <w:rsid w:val="009D6D91"/>
    <w:rsid w:val="009D6E86"/>
    <w:rsid w:val="009E11CD"/>
    <w:rsid w:val="009E4447"/>
    <w:rsid w:val="009E5A80"/>
    <w:rsid w:val="009E660A"/>
    <w:rsid w:val="009F036A"/>
    <w:rsid w:val="009F1E2F"/>
    <w:rsid w:val="009F2AE1"/>
    <w:rsid w:val="009F2B0B"/>
    <w:rsid w:val="009F51BE"/>
    <w:rsid w:val="009F5D31"/>
    <w:rsid w:val="009F6FA6"/>
    <w:rsid w:val="00A006F7"/>
    <w:rsid w:val="00A021C9"/>
    <w:rsid w:val="00A0280F"/>
    <w:rsid w:val="00A03705"/>
    <w:rsid w:val="00A03D4C"/>
    <w:rsid w:val="00A0400E"/>
    <w:rsid w:val="00A041A8"/>
    <w:rsid w:val="00A060E9"/>
    <w:rsid w:val="00A0772B"/>
    <w:rsid w:val="00A12B09"/>
    <w:rsid w:val="00A15B21"/>
    <w:rsid w:val="00A15CF2"/>
    <w:rsid w:val="00A15F54"/>
    <w:rsid w:val="00A16CA7"/>
    <w:rsid w:val="00A216C8"/>
    <w:rsid w:val="00A2325F"/>
    <w:rsid w:val="00A23468"/>
    <w:rsid w:val="00A2372F"/>
    <w:rsid w:val="00A242DA"/>
    <w:rsid w:val="00A25A7A"/>
    <w:rsid w:val="00A25D57"/>
    <w:rsid w:val="00A267EA"/>
    <w:rsid w:val="00A268AF"/>
    <w:rsid w:val="00A26AAF"/>
    <w:rsid w:val="00A2711F"/>
    <w:rsid w:val="00A31786"/>
    <w:rsid w:val="00A3190B"/>
    <w:rsid w:val="00A31A6C"/>
    <w:rsid w:val="00A329D8"/>
    <w:rsid w:val="00A33C91"/>
    <w:rsid w:val="00A3411E"/>
    <w:rsid w:val="00A347FC"/>
    <w:rsid w:val="00A34C34"/>
    <w:rsid w:val="00A35C22"/>
    <w:rsid w:val="00A42012"/>
    <w:rsid w:val="00A42E05"/>
    <w:rsid w:val="00A43DB3"/>
    <w:rsid w:val="00A44864"/>
    <w:rsid w:val="00A44D81"/>
    <w:rsid w:val="00A4557F"/>
    <w:rsid w:val="00A4664A"/>
    <w:rsid w:val="00A47AFE"/>
    <w:rsid w:val="00A47FC9"/>
    <w:rsid w:val="00A511AF"/>
    <w:rsid w:val="00A527C6"/>
    <w:rsid w:val="00A53102"/>
    <w:rsid w:val="00A532E5"/>
    <w:rsid w:val="00A542BA"/>
    <w:rsid w:val="00A545BB"/>
    <w:rsid w:val="00A54BB3"/>
    <w:rsid w:val="00A550FF"/>
    <w:rsid w:val="00A55A7F"/>
    <w:rsid w:val="00A55EF5"/>
    <w:rsid w:val="00A566B0"/>
    <w:rsid w:val="00A57FB7"/>
    <w:rsid w:val="00A60920"/>
    <w:rsid w:val="00A62C88"/>
    <w:rsid w:val="00A63F04"/>
    <w:rsid w:val="00A665D3"/>
    <w:rsid w:val="00A66BD0"/>
    <w:rsid w:val="00A677CD"/>
    <w:rsid w:val="00A70035"/>
    <w:rsid w:val="00A71668"/>
    <w:rsid w:val="00A7228A"/>
    <w:rsid w:val="00A72404"/>
    <w:rsid w:val="00A72969"/>
    <w:rsid w:val="00A73DBF"/>
    <w:rsid w:val="00A76E53"/>
    <w:rsid w:val="00A81229"/>
    <w:rsid w:val="00A822E8"/>
    <w:rsid w:val="00A82971"/>
    <w:rsid w:val="00A84904"/>
    <w:rsid w:val="00A85D3A"/>
    <w:rsid w:val="00A8616A"/>
    <w:rsid w:val="00A86436"/>
    <w:rsid w:val="00A87022"/>
    <w:rsid w:val="00A87D16"/>
    <w:rsid w:val="00A90299"/>
    <w:rsid w:val="00A90DA2"/>
    <w:rsid w:val="00A93502"/>
    <w:rsid w:val="00A9425C"/>
    <w:rsid w:val="00A945E5"/>
    <w:rsid w:val="00A94D4F"/>
    <w:rsid w:val="00A96019"/>
    <w:rsid w:val="00A96982"/>
    <w:rsid w:val="00AA0928"/>
    <w:rsid w:val="00AA1F1C"/>
    <w:rsid w:val="00AA21EB"/>
    <w:rsid w:val="00AA6569"/>
    <w:rsid w:val="00AA747D"/>
    <w:rsid w:val="00AB0252"/>
    <w:rsid w:val="00AB0585"/>
    <w:rsid w:val="00AB1CA1"/>
    <w:rsid w:val="00AB2399"/>
    <w:rsid w:val="00AB3188"/>
    <w:rsid w:val="00AB3536"/>
    <w:rsid w:val="00AB51FF"/>
    <w:rsid w:val="00AB5716"/>
    <w:rsid w:val="00AB576E"/>
    <w:rsid w:val="00AB5932"/>
    <w:rsid w:val="00AB6995"/>
    <w:rsid w:val="00AC0850"/>
    <w:rsid w:val="00AC11E4"/>
    <w:rsid w:val="00AC13CF"/>
    <w:rsid w:val="00AC1C34"/>
    <w:rsid w:val="00AC2972"/>
    <w:rsid w:val="00AC34D3"/>
    <w:rsid w:val="00AC4D25"/>
    <w:rsid w:val="00AC6896"/>
    <w:rsid w:val="00AC6AA2"/>
    <w:rsid w:val="00AC7808"/>
    <w:rsid w:val="00AD4428"/>
    <w:rsid w:val="00AD56F7"/>
    <w:rsid w:val="00AD5A7B"/>
    <w:rsid w:val="00AD6B1B"/>
    <w:rsid w:val="00AE1452"/>
    <w:rsid w:val="00AE1EEF"/>
    <w:rsid w:val="00AE1F73"/>
    <w:rsid w:val="00AE471F"/>
    <w:rsid w:val="00AE4C03"/>
    <w:rsid w:val="00AF0B7D"/>
    <w:rsid w:val="00AF1570"/>
    <w:rsid w:val="00AF3B44"/>
    <w:rsid w:val="00AF3E5D"/>
    <w:rsid w:val="00AF436B"/>
    <w:rsid w:val="00AF57E1"/>
    <w:rsid w:val="00AF589E"/>
    <w:rsid w:val="00B0024F"/>
    <w:rsid w:val="00B018BC"/>
    <w:rsid w:val="00B01ADF"/>
    <w:rsid w:val="00B01EAF"/>
    <w:rsid w:val="00B02D68"/>
    <w:rsid w:val="00B02F50"/>
    <w:rsid w:val="00B04D5F"/>
    <w:rsid w:val="00B05F42"/>
    <w:rsid w:val="00B067BB"/>
    <w:rsid w:val="00B06F86"/>
    <w:rsid w:val="00B07813"/>
    <w:rsid w:val="00B10955"/>
    <w:rsid w:val="00B10B3C"/>
    <w:rsid w:val="00B11966"/>
    <w:rsid w:val="00B16A1B"/>
    <w:rsid w:val="00B21094"/>
    <w:rsid w:val="00B21AB2"/>
    <w:rsid w:val="00B21C68"/>
    <w:rsid w:val="00B224D8"/>
    <w:rsid w:val="00B2254B"/>
    <w:rsid w:val="00B230F2"/>
    <w:rsid w:val="00B2345E"/>
    <w:rsid w:val="00B2409B"/>
    <w:rsid w:val="00B24E31"/>
    <w:rsid w:val="00B25FD6"/>
    <w:rsid w:val="00B261AB"/>
    <w:rsid w:val="00B26B42"/>
    <w:rsid w:val="00B30867"/>
    <w:rsid w:val="00B31D1E"/>
    <w:rsid w:val="00B32B67"/>
    <w:rsid w:val="00B32F80"/>
    <w:rsid w:val="00B33320"/>
    <w:rsid w:val="00B3388C"/>
    <w:rsid w:val="00B3668C"/>
    <w:rsid w:val="00B36E2B"/>
    <w:rsid w:val="00B415B7"/>
    <w:rsid w:val="00B423AA"/>
    <w:rsid w:val="00B42C0F"/>
    <w:rsid w:val="00B42DA6"/>
    <w:rsid w:val="00B439E0"/>
    <w:rsid w:val="00B453E8"/>
    <w:rsid w:val="00B532E3"/>
    <w:rsid w:val="00B53892"/>
    <w:rsid w:val="00B544ED"/>
    <w:rsid w:val="00B56C09"/>
    <w:rsid w:val="00B575D4"/>
    <w:rsid w:val="00B6022D"/>
    <w:rsid w:val="00B6111E"/>
    <w:rsid w:val="00B61336"/>
    <w:rsid w:val="00B6158E"/>
    <w:rsid w:val="00B62400"/>
    <w:rsid w:val="00B630B1"/>
    <w:rsid w:val="00B644D4"/>
    <w:rsid w:val="00B6487E"/>
    <w:rsid w:val="00B648C2"/>
    <w:rsid w:val="00B64CF1"/>
    <w:rsid w:val="00B651B8"/>
    <w:rsid w:val="00B65919"/>
    <w:rsid w:val="00B67193"/>
    <w:rsid w:val="00B678BD"/>
    <w:rsid w:val="00B70856"/>
    <w:rsid w:val="00B7277A"/>
    <w:rsid w:val="00B74EAA"/>
    <w:rsid w:val="00B7503A"/>
    <w:rsid w:val="00B766CC"/>
    <w:rsid w:val="00B778B1"/>
    <w:rsid w:val="00B82404"/>
    <w:rsid w:val="00B85E17"/>
    <w:rsid w:val="00B90BE8"/>
    <w:rsid w:val="00B91191"/>
    <w:rsid w:val="00B9292F"/>
    <w:rsid w:val="00B95320"/>
    <w:rsid w:val="00B970C0"/>
    <w:rsid w:val="00BA10E3"/>
    <w:rsid w:val="00BA1D95"/>
    <w:rsid w:val="00BA4B4A"/>
    <w:rsid w:val="00BA58C2"/>
    <w:rsid w:val="00BA6619"/>
    <w:rsid w:val="00BA6E1F"/>
    <w:rsid w:val="00BA7EC1"/>
    <w:rsid w:val="00BB0528"/>
    <w:rsid w:val="00BB3175"/>
    <w:rsid w:val="00BB52FF"/>
    <w:rsid w:val="00BB562F"/>
    <w:rsid w:val="00BB5EB6"/>
    <w:rsid w:val="00BB61BF"/>
    <w:rsid w:val="00BB61F1"/>
    <w:rsid w:val="00BC0193"/>
    <w:rsid w:val="00BC033D"/>
    <w:rsid w:val="00BC0B48"/>
    <w:rsid w:val="00BC190F"/>
    <w:rsid w:val="00BC23EE"/>
    <w:rsid w:val="00BC2878"/>
    <w:rsid w:val="00BC290B"/>
    <w:rsid w:val="00BC39CF"/>
    <w:rsid w:val="00BC584D"/>
    <w:rsid w:val="00BC5B67"/>
    <w:rsid w:val="00BC66D9"/>
    <w:rsid w:val="00BD01FF"/>
    <w:rsid w:val="00BD4050"/>
    <w:rsid w:val="00BD4189"/>
    <w:rsid w:val="00BD4BC0"/>
    <w:rsid w:val="00BD75E5"/>
    <w:rsid w:val="00BD7BA7"/>
    <w:rsid w:val="00BD7D29"/>
    <w:rsid w:val="00BE004B"/>
    <w:rsid w:val="00BE025B"/>
    <w:rsid w:val="00BE18B2"/>
    <w:rsid w:val="00BE4004"/>
    <w:rsid w:val="00BE63BC"/>
    <w:rsid w:val="00BE7A02"/>
    <w:rsid w:val="00BF06C9"/>
    <w:rsid w:val="00BF1988"/>
    <w:rsid w:val="00BF222C"/>
    <w:rsid w:val="00BF2F91"/>
    <w:rsid w:val="00BF3306"/>
    <w:rsid w:val="00BF3523"/>
    <w:rsid w:val="00BF4653"/>
    <w:rsid w:val="00BF51C3"/>
    <w:rsid w:val="00C00823"/>
    <w:rsid w:val="00C00D60"/>
    <w:rsid w:val="00C03403"/>
    <w:rsid w:val="00C039B1"/>
    <w:rsid w:val="00C05453"/>
    <w:rsid w:val="00C07297"/>
    <w:rsid w:val="00C122D0"/>
    <w:rsid w:val="00C14E3A"/>
    <w:rsid w:val="00C150C7"/>
    <w:rsid w:val="00C159F5"/>
    <w:rsid w:val="00C16936"/>
    <w:rsid w:val="00C20268"/>
    <w:rsid w:val="00C2072F"/>
    <w:rsid w:val="00C213FA"/>
    <w:rsid w:val="00C215E9"/>
    <w:rsid w:val="00C21678"/>
    <w:rsid w:val="00C22612"/>
    <w:rsid w:val="00C22B02"/>
    <w:rsid w:val="00C23436"/>
    <w:rsid w:val="00C246FF"/>
    <w:rsid w:val="00C24CAC"/>
    <w:rsid w:val="00C25837"/>
    <w:rsid w:val="00C25C73"/>
    <w:rsid w:val="00C26EBF"/>
    <w:rsid w:val="00C27183"/>
    <w:rsid w:val="00C27ACD"/>
    <w:rsid w:val="00C30B63"/>
    <w:rsid w:val="00C310A5"/>
    <w:rsid w:val="00C33A52"/>
    <w:rsid w:val="00C35625"/>
    <w:rsid w:val="00C3679A"/>
    <w:rsid w:val="00C4065D"/>
    <w:rsid w:val="00C40C76"/>
    <w:rsid w:val="00C41D54"/>
    <w:rsid w:val="00C42B84"/>
    <w:rsid w:val="00C44801"/>
    <w:rsid w:val="00C45210"/>
    <w:rsid w:val="00C46B7C"/>
    <w:rsid w:val="00C50EEF"/>
    <w:rsid w:val="00C51A09"/>
    <w:rsid w:val="00C51BD0"/>
    <w:rsid w:val="00C51DD4"/>
    <w:rsid w:val="00C52159"/>
    <w:rsid w:val="00C53D4E"/>
    <w:rsid w:val="00C540F7"/>
    <w:rsid w:val="00C55264"/>
    <w:rsid w:val="00C5799A"/>
    <w:rsid w:val="00C628C9"/>
    <w:rsid w:val="00C64625"/>
    <w:rsid w:val="00C6546C"/>
    <w:rsid w:val="00C66DC9"/>
    <w:rsid w:val="00C679C5"/>
    <w:rsid w:val="00C7000A"/>
    <w:rsid w:val="00C7087E"/>
    <w:rsid w:val="00C7091C"/>
    <w:rsid w:val="00C7448A"/>
    <w:rsid w:val="00C746B7"/>
    <w:rsid w:val="00C74FAF"/>
    <w:rsid w:val="00C76469"/>
    <w:rsid w:val="00C771DF"/>
    <w:rsid w:val="00C77F95"/>
    <w:rsid w:val="00C80222"/>
    <w:rsid w:val="00C80AC4"/>
    <w:rsid w:val="00C821C9"/>
    <w:rsid w:val="00C827E3"/>
    <w:rsid w:val="00C82BA7"/>
    <w:rsid w:val="00C82EBA"/>
    <w:rsid w:val="00C84C31"/>
    <w:rsid w:val="00C85385"/>
    <w:rsid w:val="00C85557"/>
    <w:rsid w:val="00C87767"/>
    <w:rsid w:val="00C87D34"/>
    <w:rsid w:val="00C900B4"/>
    <w:rsid w:val="00C91902"/>
    <w:rsid w:val="00C94A92"/>
    <w:rsid w:val="00C950DE"/>
    <w:rsid w:val="00C9520A"/>
    <w:rsid w:val="00C96DDE"/>
    <w:rsid w:val="00CA1ED8"/>
    <w:rsid w:val="00CA335D"/>
    <w:rsid w:val="00CA4124"/>
    <w:rsid w:val="00CA5020"/>
    <w:rsid w:val="00CA5306"/>
    <w:rsid w:val="00CA53BA"/>
    <w:rsid w:val="00CA67B0"/>
    <w:rsid w:val="00CA6FDA"/>
    <w:rsid w:val="00CB0B3E"/>
    <w:rsid w:val="00CB0F36"/>
    <w:rsid w:val="00CB3ED9"/>
    <w:rsid w:val="00CB3EFD"/>
    <w:rsid w:val="00CB4AC0"/>
    <w:rsid w:val="00CB7D3F"/>
    <w:rsid w:val="00CC015D"/>
    <w:rsid w:val="00CC06EC"/>
    <w:rsid w:val="00CC07E8"/>
    <w:rsid w:val="00CC0C11"/>
    <w:rsid w:val="00CC2594"/>
    <w:rsid w:val="00CC5F97"/>
    <w:rsid w:val="00CC70FE"/>
    <w:rsid w:val="00CC78E4"/>
    <w:rsid w:val="00CD19AE"/>
    <w:rsid w:val="00CD1B5F"/>
    <w:rsid w:val="00CD1BB6"/>
    <w:rsid w:val="00CD48C4"/>
    <w:rsid w:val="00CD521B"/>
    <w:rsid w:val="00CD7A25"/>
    <w:rsid w:val="00CE0207"/>
    <w:rsid w:val="00CE05E9"/>
    <w:rsid w:val="00CE0879"/>
    <w:rsid w:val="00CE1F47"/>
    <w:rsid w:val="00CE4059"/>
    <w:rsid w:val="00CE421F"/>
    <w:rsid w:val="00CE4EEF"/>
    <w:rsid w:val="00CE52CD"/>
    <w:rsid w:val="00CF1414"/>
    <w:rsid w:val="00CF2A90"/>
    <w:rsid w:val="00CF2CDD"/>
    <w:rsid w:val="00CF35DE"/>
    <w:rsid w:val="00CF366A"/>
    <w:rsid w:val="00CF532F"/>
    <w:rsid w:val="00CF6D3A"/>
    <w:rsid w:val="00D0382E"/>
    <w:rsid w:val="00D04B2B"/>
    <w:rsid w:val="00D04F6D"/>
    <w:rsid w:val="00D05FC4"/>
    <w:rsid w:val="00D06997"/>
    <w:rsid w:val="00D06E62"/>
    <w:rsid w:val="00D06F51"/>
    <w:rsid w:val="00D07C5C"/>
    <w:rsid w:val="00D106E1"/>
    <w:rsid w:val="00D131C7"/>
    <w:rsid w:val="00D153C0"/>
    <w:rsid w:val="00D20B6C"/>
    <w:rsid w:val="00D23537"/>
    <w:rsid w:val="00D23CDA"/>
    <w:rsid w:val="00D2487F"/>
    <w:rsid w:val="00D262A4"/>
    <w:rsid w:val="00D26360"/>
    <w:rsid w:val="00D2662A"/>
    <w:rsid w:val="00D274F6"/>
    <w:rsid w:val="00D301DD"/>
    <w:rsid w:val="00D31E14"/>
    <w:rsid w:val="00D32078"/>
    <w:rsid w:val="00D32BCA"/>
    <w:rsid w:val="00D3385E"/>
    <w:rsid w:val="00D36F10"/>
    <w:rsid w:val="00D404CF"/>
    <w:rsid w:val="00D409BC"/>
    <w:rsid w:val="00D40A73"/>
    <w:rsid w:val="00D4293A"/>
    <w:rsid w:val="00D45B7E"/>
    <w:rsid w:val="00D46F76"/>
    <w:rsid w:val="00D501F9"/>
    <w:rsid w:val="00D504E5"/>
    <w:rsid w:val="00D507EA"/>
    <w:rsid w:val="00D50A64"/>
    <w:rsid w:val="00D514F2"/>
    <w:rsid w:val="00D51B58"/>
    <w:rsid w:val="00D521A6"/>
    <w:rsid w:val="00D5418D"/>
    <w:rsid w:val="00D54666"/>
    <w:rsid w:val="00D5466E"/>
    <w:rsid w:val="00D577F6"/>
    <w:rsid w:val="00D6279D"/>
    <w:rsid w:val="00D6691E"/>
    <w:rsid w:val="00D6710A"/>
    <w:rsid w:val="00D70B74"/>
    <w:rsid w:val="00D71D54"/>
    <w:rsid w:val="00D72D45"/>
    <w:rsid w:val="00D73CE5"/>
    <w:rsid w:val="00D75541"/>
    <w:rsid w:val="00D75ACB"/>
    <w:rsid w:val="00D76967"/>
    <w:rsid w:val="00D8094E"/>
    <w:rsid w:val="00D81753"/>
    <w:rsid w:val="00D84C86"/>
    <w:rsid w:val="00D87211"/>
    <w:rsid w:val="00D87AB4"/>
    <w:rsid w:val="00D87CBB"/>
    <w:rsid w:val="00D935DA"/>
    <w:rsid w:val="00D93F39"/>
    <w:rsid w:val="00D941F3"/>
    <w:rsid w:val="00D94F6D"/>
    <w:rsid w:val="00D9708C"/>
    <w:rsid w:val="00D975DC"/>
    <w:rsid w:val="00D97E45"/>
    <w:rsid w:val="00DA009F"/>
    <w:rsid w:val="00DA025A"/>
    <w:rsid w:val="00DA0B06"/>
    <w:rsid w:val="00DA164A"/>
    <w:rsid w:val="00DA1B92"/>
    <w:rsid w:val="00DA231D"/>
    <w:rsid w:val="00DA27B0"/>
    <w:rsid w:val="00DA4886"/>
    <w:rsid w:val="00DA5828"/>
    <w:rsid w:val="00DA5CA7"/>
    <w:rsid w:val="00DA6AB6"/>
    <w:rsid w:val="00DA6AD9"/>
    <w:rsid w:val="00DA78C4"/>
    <w:rsid w:val="00DA7DAA"/>
    <w:rsid w:val="00DB21F8"/>
    <w:rsid w:val="00DB5A8B"/>
    <w:rsid w:val="00DC0427"/>
    <w:rsid w:val="00DC1614"/>
    <w:rsid w:val="00DC49AD"/>
    <w:rsid w:val="00DC4D87"/>
    <w:rsid w:val="00DC6519"/>
    <w:rsid w:val="00DC6E8D"/>
    <w:rsid w:val="00DC6EA7"/>
    <w:rsid w:val="00DC7673"/>
    <w:rsid w:val="00DD0ABB"/>
    <w:rsid w:val="00DD0EAD"/>
    <w:rsid w:val="00DD206D"/>
    <w:rsid w:val="00DD4210"/>
    <w:rsid w:val="00DD5773"/>
    <w:rsid w:val="00DD5CA6"/>
    <w:rsid w:val="00DD5F90"/>
    <w:rsid w:val="00DD6707"/>
    <w:rsid w:val="00DD7322"/>
    <w:rsid w:val="00DD7E6C"/>
    <w:rsid w:val="00DE009E"/>
    <w:rsid w:val="00DE1629"/>
    <w:rsid w:val="00DE191A"/>
    <w:rsid w:val="00DE2402"/>
    <w:rsid w:val="00DE299B"/>
    <w:rsid w:val="00DE36C8"/>
    <w:rsid w:val="00DE699A"/>
    <w:rsid w:val="00DE70A8"/>
    <w:rsid w:val="00DF025A"/>
    <w:rsid w:val="00DF1455"/>
    <w:rsid w:val="00DF2475"/>
    <w:rsid w:val="00DF268A"/>
    <w:rsid w:val="00DF3890"/>
    <w:rsid w:val="00DF3F41"/>
    <w:rsid w:val="00DF5601"/>
    <w:rsid w:val="00DF5E09"/>
    <w:rsid w:val="00DF7D23"/>
    <w:rsid w:val="00E00B71"/>
    <w:rsid w:val="00E00C13"/>
    <w:rsid w:val="00E015F3"/>
    <w:rsid w:val="00E034EE"/>
    <w:rsid w:val="00E06ADF"/>
    <w:rsid w:val="00E11D75"/>
    <w:rsid w:val="00E1240C"/>
    <w:rsid w:val="00E128E0"/>
    <w:rsid w:val="00E12A95"/>
    <w:rsid w:val="00E13EF2"/>
    <w:rsid w:val="00E16545"/>
    <w:rsid w:val="00E165B8"/>
    <w:rsid w:val="00E16F29"/>
    <w:rsid w:val="00E17632"/>
    <w:rsid w:val="00E17A98"/>
    <w:rsid w:val="00E23547"/>
    <w:rsid w:val="00E237D1"/>
    <w:rsid w:val="00E238C3"/>
    <w:rsid w:val="00E23DB3"/>
    <w:rsid w:val="00E25FAF"/>
    <w:rsid w:val="00E2600E"/>
    <w:rsid w:val="00E26379"/>
    <w:rsid w:val="00E303F1"/>
    <w:rsid w:val="00E31AF8"/>
    <w:rsid w:val="00E3383E"/>
    <w:rsid w:val="00E36A46"/>
    <w:rsid w:val="00E37A8B"/>
    <w:rsid w:val="00E37D24"/>
    <w:rsid w:val="00E37EDF"/>
    <w:rsid w:val="00E40CC2"/>
    <w:rsid w:val="00E40DB8"/>
    <w:rsid w:val="00E4199D"/>
    <w:rsid w:val="00E4549E"/>
    <w:rsid w:val="00E46824"/>
    <w:rsid w:val="00E469A6"/>
    <w:rsid w:val="00E518A2"/>
    <w:rsid w:val="00E57FB8"/>
    <w:rsid w:val="00E6069A"/>
    <w:rsid w:val="00E61FDD"/>
    <w:rsid w:val="00E622F3"/>
    <w:rsid w:val="00E62E40"/>
    <w:rsid w:val="00E6331E"/>
    <w:rsid w:val="00E63A24"/>
    <w:rsid w:val="00E71B61"/>
    <w:rsid w:val="00E72D29"/>
    <w:rsid w:val="00E7722F"/>
    <w:rsid w:val="00E77535"/>
    <w:rsid w:val="00E8204C"/>
    <w:rsid w:val="00E83C0D"/>
    <w:rsid w:val="00E865A6"/>
    <w:rsid w:val="00E86A0C"/>
    <w:rsid w:val="00E86C9E"/>
    <w:rsid w:val="00E87423"/>
    <w:rsid w:val="00E87F69"/>
    <w:rsid w:val="00E91CEC"/>
    <w:rsid w:val="00E95AB9"/>
    <w:rsid w:val="00E964D8"/>
    <w:rsid w:val="00E96E1A"/>
    <w:rsid w:val="00E97CDC"/>
    <w:rsid w:val="00E97CE3"/>
    <w:rsid w:val="00EA06E5"/>
    <w:rsid w:val="00EA0AB4"/>
    <w:rsid w:val="00EA1E55"/>
    <w:rsid w:val="00EA21E3"/>
    <w:rsid w:val="00EA3287"/>
    <w:rsid w:val="00EA5175"/>
    <w:rsid w:val="00EA654B"/>
    <w:rsid w:val="00EA7B23"/>
    <w:rsid w:val="00EB0DBA"/>
    <w:rsid w:val="00EB2F41"/>
    <w:rsid w:val="00EB3723"/>
    <w:rsid w:val="00EB433E"/>
    <w:rsid w:val="00EB64C3"/>
    <w:rsid w:val="00EB797F"/>
    <w:rsid w:val="00EC06D3"/>
    <w:rsid w:val="00EC1CA5"/>
    <w:rsid w:val="00EC21F1"/>
    <w:rsid w:val="00EC23CA"/>
    <w:rsid w:val="00EC2F7B"/>
    <w:rsid w:val="00EC4460"/>
    <w:rsid w:val="00EC499C"/>
    <w:rsid w:val="00EC55E3"/>
    <w:rsid w:val="00EC6843"/>
    <w:rsid w:val="00EC6B46"/>
    <w:rsid w:val="00EC7CE2"/>
    <w:rsid w:val="00ED0E86"/>
    <w:rsid w:val="00ED11A6"/>
    <w:rsid w:val="00ED15BD"/>
    <w:rsid w:val="00ED1731"/>
    <w:rsid w:val="00ED2290"/>
    <w:rsid w:val="00ED2760"/>
    <w:rsid w:val="00ED2C6F"/>
    <w:rsid w:val="00ED3A51"/>
    <w:rsid w:val="00ED4323"/>
    <w:rsid w:val="00ED4AB0"/>
    <w:rsid w:val="00ED7F2A"/>
    <w:rsid w:val="00EE15AA"/>
    <w:rsid w:val="00EE1F82"/>
    <w:rsid w:val="00EE203B"/>
    <w:rsid w:val="00EE2AFF"/>
    <w:rsid w:val="00EE421C"/>
    <w:rsid w:val="00EE4BDF"/>
    <w:rsid w:val="00EE554F"/>
    <w:rsid w:val="00EE5738"/>
    <w:rsid w:val="00EE651E"/>
    <w:rsid w:val="00EE6607"/>
    <w:rsid w:val="00EE6639"/>
    <w:rsid w:val="00EE687F"/>
    <w:rsid w:val="00EF0D66"/>
    <w:rsid w:val="00EF1ABA"/>
    <w:rsid w:val="00EF1D37"/>
    <w:rsid w:val="00EF1E39"/>
    <w:rsid w:val="00EF554F"/>
    <w:rsid w:val="00EF5760"/>
    <w:rsid w:val="00EF6196"/>
    <w:rsid w:val="00F0061F"/>
    <w:rsid w:val="00F014D3"/>
    <w:rsid w:val="00F01CB1"/>
    <w:rsid w:val="00F06ED0"/>
    <w:rsid w:val="00F1027F"/>
    <w:rsid w:val="00F1236A"/>
    <w:rsid w:val="00F12707"/>
    <w:rsid w:val="00F136D1"/>
    <w:rsid w:val="00F13BE6"/>
    <w:rsid w:val="00F140CA"/>
    <w:rsid w:val="00F15AA1"/>
    <w:rsid w:val="00F17399"/>
    <w:rsid w:val="00F176ED"/>
    <w:rsid w:val="00F17845"/>
    <w:rsid w:val="00F20B8D"/>
    <w:rsid w:val="00F211EB"/>
    <w:rsid w:val="00F263A9"/>
    <w:rsid w:val="00F26C24"/>
    <w:rsid w:val="00F26DA0"/>
    <w:rsid w:val="00F30E4A"/>
    <w:rsid w:val="00F31756"/>
    <w:rsid w:val="00F31952"/>
    <w:rsid w:val="00F331ED"/>
    <w:rsid w:val="00F336CF"/>
    <w:rsid w:val="00F3438F"/>
    <w:rsid w:val="00F34B7A"/>
    <w:rsid w:val="00F3500E"/>
    <w:rsid w:val="00F3514C"/>
    <w:rsid w:val="00F35DFF"/>
    <w:rsid w:val="00F36337"/>
    <w:rsid w:val="00F36FBD"/>
    <w:rsid w:val="00F40A65"/>
    <w:rsid w:val="00F42D50"/>
    <w:rsid w:val="00F430D1"/>
    <w:rsid w:val="00F44825"/>
    <w:rsid w:val="00F44BE1"/>
    <w:rsid w:val="00F510F2"/>
    <w:rsid w:val="00F52155"/>
    <w:rsid w:val="00F542C9"/>
    <w:rsid w:val="00F54DE3"/>
    <w:rsid w:val="00F558D5"/>
    <w:rsid w:val="00F55C5F"/>
    <w:rsid w:val="00F57691"/>
    <w:rsid w:val="00F6047E"/>
    <w:rsid w:val="00F6055E"/>
    <w:rsid w:val="00F6077A"/>
    <w:rsid w:val="00F60D20"/>
    <w:rsid w:val="00F61995"/>
    <w:rsid w:val="00F620A2"/>
    <w:rsid w:val="00F620DA"/>
    <w:rsid w:val="00F644C9"/>
    <w:rsid w:val="00F64829"/>
    <w:rsid w:val="00F70B5F"/>
    <w:rsid w:val="00F70F5C"/>
    <w:rsid w:val="00F7123D"/>
    <w:rsid w:val="00F71732"/>
    <w:rsid w:val="00F71AA5"/>
    <w:rsid w:val="00F725A7"/>
    <w:rsid w:val="00F72F03"/>
    <w:rsid w:val="00F73556"/>
    <w:rsid w:val="00F739AB"/>
    <w:rsid w:val="00F75A7E"/>
    <w:rsid w:val="00F76810"/>
    <w:rsid w:val="00F77052"/>
    <w:rsid w:val="00F77D1C"/>
    <w:rsid w:val="00F82BD4"/>
    <w:rsid w:val="00F8363A"/>
    <w:rsid w:val="00F83D99"/>
    <w:rsid w:val="00F8400F"/>
    <w:rsid w:val="00F85C2B"/>
    <w:rsid w:val="00F87D8F"/>
    <w:rsid w:val="00F95640"/>
    <w:rsid w:val="00F95B3A"/>
    <w:rsid w:val="00F978F3"/>
    <w:rsid w:val="00F97D01"/>
    <w:rsid w:val="00FA160B"/>
    <w:rsid w:val="00FA22A8"/>
    <w:rsid w:val="00FA2D01"/>
    <w:rsid w:val="00FA3C25"/>
    <w:rsid w:val="00FA4052"/>
    <w:rsid w:val="00FA6156"/>
    <w:rsid w:val="00FB0037"/>
    <w:rsid w:val="00FB1037"/>
    <w:rsid w:val="00FB3FE0"/>
    <w:rsid w:val="00FB4BE0"/>
    <w:rsid w:val="00FB6E68"/>
    <w:rsid w:val="00FC04F8"/>
    <w:rsid w:val="00FC0573"/>
    <w:rsid w:val="00FC0983"/>
    <w:rsid w:val="00FC1FBF"/>
    <w:rsid w:val="00FC2642"/>
    <w:rsid w:val="00FC3CA5"/>
    <w:rsid w:val="00FC4BD1"/>
    <w:rsid w:val="00FD0186"/>
    <w:rsid w:val="00FD4C1E"/>
    <w:rsid w:val="00FD5DD2"/>
    <w:rsid w:val="00FD5E31"/>
    <w:rsid w:val="00FD6E9A"/>
    <w:rsid w:val="00FE0BD4"/>
    <w:rsid w:val="00FE2C08"/>
    <w:rsid w:val="00FE4317"/>
    <w:rsid w:val="00FE4500"/>
    <w:rsid w:val="00FE4922"/>
    <w:rsid w:val="00FE5714"/>
    <w:rsid w:val="00FE5ECE"/>
    <w:rsid w:val="00FE64C2"/>
    <w:rsid w:val="00FE675A"/>
    <w:rsid w:val="00FE71E8"/>
    <w:rsid w:val="00FF0797"/>
    <w:rsid w:val="00FF31B1"/>
    <w:rsid w:val="00FF3E6A"/>
    <w:rsid w:val="00FF477E"/>
    <w:rsid w:val="00FF5AC6"/>
    <w:rsid w:val="00FF6073"/>
    <w:rsid w:val="00FF6EEB"/>
    <w:rsid w:val="00FF77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rules v:ext="edit">
        <o:r id="V:Rule20" type="connector" idref="#Łącznik prosty ze strzałką 921"/>
        <o:r id="V:Rule45" type="connector" idref="#Straight Arrow Connector 4"/>
        <o:r id="V:Rule46" type="connector" idref="#Straight Arrow Connector 4"/>
        <o:r id="V:Rule47" type="connector" idref="#Straight Arrow Connector 4"/>
        <o:r id="V:Rule48" type="connector" idref="#Straight Arrow Connector 4"/>
        <o:r id="V:Rule56" type="connector" idref="#Łącznik prosty ze strzałką 37"/>
        <o:r id="V:Rule57" type="connector" idref="#Łącznik prosty ze strzałką 37"/>
        <o:r id="V:Rule58" type="connector" idref="#Łącznik prosty ze strzałką 37"/>
        <o:r id="V:Rule70" type="connector" idref="#Łącznik prosty ze strzałką 406"/>
        <o:r id="V:Rule71" type="connector" idref="#Łącznik prosty ze strzałką 255"/>
        <o:r id="V:Rule72" type="connector" idref="#Łącznik prosty ze strzałką 276"/>
        <o:r id="V:Rule73" type="connector" idref="#Łącznik prosty ze strzałką 955"/>
        <o:r id="V:Rule74" type="connector" idref="#Łącznik prosty ze strzałką 920"/>
        <o:r id="V:Rule75" type="connector" idref="#Łącznik prosty ze strzałką 414"/>
        <o:r id="V:Rule76" type="connector" idref="#Straight Arrow Connector 37"/>
        <o:r id="V:Rule77" type="connector" idref="#Straight Arrow Connector 34"/>
        <o:r id="V:Rule78" type="connector" idref="#Łącznik prosty ze strzałką 278"/>
        <o:r id="V:Rule80" type="connector" idref="#Łącznik prosty ze strzałką 956"/>
        <o:r id="V:Rule81" type="connector" idref="#Łącznik prosty ze strzałką 928"/>
        <o:r id="V:Rule82" type="connector" idref="#Łącznik prosty ze strzałką 919"/>
        <o:r id="V:Rule84" type="connector" idref="#Łącznik prosty ze strzałką 953"/>
        <o:r id="V:Rule85" type="connector" idref="#Łącznik prosty ze strzałką 432"/>
        <o:r id="V:Rule86" type="connector" idref="#Łącznik prosty ze strzałką 253"/>
        <o:r id="V:Rule88" type="connector" idref="#Łącznik prosty ze strzałką 527"/>
        <o:r id="V:Rule89" type="connector" idref="#Łącznik prosty ze strzałką 949"/>
        <o:r id="V:Rule91" type="connector" idref="#Elbow Connector 31"/>
        <o:r id="V:Rule92" type="connector" idref="#Straight Arrow Connector 51"/>
        <o:r id="V:Rule93" type="connector" idref="#Łącznik prosty ze strzałką 436"/>
        <o:r id="V:Rule94" type="connector" idref="#Łącznik prosty ze strzałką 542"/>
        <o:r id="V:Rule95" type="connector" idref="#Łącznik prosty ze strzałką 277"/>
        <o:r id="V:Rule96" type="connector" idref="#Łącznik prosty ze strzałką 514"/>
        <o:r id="V:Rule97" type="connector" idref="#Łącznik prosty ze strzałką 922"/>
        <o:r id="V:Rule99" type="connector" idref="#Łącznik prosty ze strzałką 549"/>
        <o:r id="V:Rule100" type="connector" idref="#Łącznik prosty ze strzałką 925"/>
        <o:r id="V:Rule101" type="connector" idref="#Łącznik prosty ze strzałką 513"/>
        <o:r id="V:Rule102" type="connector" idref="#Łącznik prosty ze strzałką 411"/>
        <o:r id="V:Rule103" type="connector" idref="#Łącznik prosty ze strzałką 269"/>
        <o:r id="V:Rule104" type="connector" idref="#Łącznik prosty ze strzałką 550"/>
        <o:r id="V:Rule105" type="connector" idref="#Łącznik prosty ze strzałką 410"/>
        <o:r id="V:Rule106" type="connector" idref="#Łącznik prosty ze strzałką 254"/>
        <o:r id="V:Rule107" type="connector" idref="#Łącznik prosty ze strzałką 921"/>
        <o:r id="V:Rule108" type="connector" idref="#Łącznik prosty ze strzałką 954"/>
        <o:r id="V:Rule109" type="connector" idref="#Łącznik prosty ze strzałką 412"/>
        <o:r id="V:Rule110" type="connector" idref="#Łącznik prosty ze strzałką 927"/>
        <o:r id="V:Rule111" type="connector" idref="#Łącznik prosty ze strzałką 434"/>
        <o:r id="V:Rule112" type="connector" idref="#Elbow Connector 515"/>
        <o:r id="V:Rule113" type="connector" idref="#Łącznik prosty ze strzałką 526"/>
        <o:r id="V:Rule114" type="connector" idref="#Łącznik prosty ze strzałką 523"/>
        <o:r id="V:Rule115" type="connector" idref="#Łącznik prosty ze strzałką 212"/>
        <o:r id="V:Rule116" type="connector" idref="#Łącznik prosty ze strzałką 37"/>
        <o:r id="V:Rule117" type="connector" idref="#Łącznik prosty ze strzałką 214"/>
        <o:r id="V:Rule118" type="connector" idref="#Łącznik prosty ze strzałką 433"/>
        <o:r id="V:Rule119" type="connector" idref="#Łącznik prosty ze strzałką 515"/>
        <o:r id="V:Rule121" type="connector" idref="#Straight Arrow Connector 52"/>
        <o:r id="V:Rule122" type="connector" idref="#Łącznik prosty ze strzałką 267"/>
        <o:r id="V:Rule123" type="connector" idref="#Łącznik prosty ze strzałką 281"/>
        <o:r id="V:Rule124" type="connector" idref="#Łącznik prosty ze strzałką 221"/>
        <o:r id="V:Rule125" type="connector" idref="#Łącznik prosty ze strzałką 545"/>
        <o:r id="V:Rule126" type="connector" idref="#Łącznik prosty ze strzałką 926"/>
        <o:r id="V:Rule127" type="connector" idref="#Straight Arrow Connector 27"/>
        <o:r id="V:Rule128" type="connector" idref="#Łącznik prosty ze strzałką 923"/>
        <o:r id="V:Rule131" type="connector" idref="#Łącznik prosty ze strzałką 413"/>
        <o:r id="V:Rule132" type="connector" idref="#Łącznik prosty ze strzałką 546"/>
        <o:r id="V:Rule133" type="connector" idref="#Łącznik prosty ze strzałką 15"/>
        <o:r id="V:Rule134" type="connector" idref="#Łącznik prosty ze strzałką 516"/>
        <o:r id="V:Rule135" type="connector" idref="#Łącznik prosty ze strzałką 283"/>
        <o:r id="V:Rule136" type="connector" idref="#Łącznik prosty ze strzałką 268"/>
        <o:r id="V:Rule137" type="connector" idref="#Straight Arrow Connector 4"/>
        <o:r id="V:Rule138" type="connector" idref="#Łącznik prosty ze strzałką 27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footer"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Normal (Web)" w:qFormat="1"/>
    <w:lsdException w:name="annotation subject" w:uiPriority="0"/>
    <w:lsdException w:name="No List" w:uiPriority="0"/>
    <w:lsdException w:name="Balloon Text" w:uiPriority="0"/>
    <w:lsdException w:name="Table Grid" w:semiHidden="0" w:uiPriority="0" w:unhideWhenUsed="0"/>
    <w:lsdException w:name="Table Theme" w:uiPriority="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Normalny">
    <w:name w:val="Normal"/>
    <w:qFormat/>
    <w:rsid w:val="00DF3890"/>
    <w:pPr>
      <w:jc w:val="both"/>
    </w:pPr>
  </w:style>
  <w:style w:type="paragraph" w:styleId="Nagwek1">
    <w:name w:val="heading 1"/>
    <w:aliases w:val="Hoofdstuk"/>
    <w:basedOn w:val="Normalny"/>
    <w:next w:val="Normalny"/>
    <w:link w:val="Nagwek1Znak"/>
    <w:qFormat/>
    <w:rsid w:val="0092245E"/>
    <w:pPr>
      <w:keepNext/>
      <w:keepLines/>
      <w:numPr>
        <w:numId w:val="5"/>
      </w:numPr>
      <w:spacing w:before="480" w:after="0"/>
      <w:ind w:left="431" w:hanging="431"/>
      <w:outlineLvl w:val="0"/>
    </w:pPr>
    <w:rPr>
      <w:rFonts w:asciiTheme="majorHAnsi" w:eastAsiaTheme="majorEastAsia" w:hAnsiTheme="majorHAnsi" w:cstheme="majorBidi"/>
      <w:b/>
      <w:bCs/>
      <w:color w:val="28476D" w:themeColor="accent1" w:themeShade="BF"/>
      <w:sz w:val="28"/>
      <w:szCs w:val="28"/>
    </w:rPr>
  </w:style>
  <w:style w:type="paragraph" w:styleId="Nagwek2">
    <w:name w:val="heading 2"/>
    <w:aliases w:val="Paragraaf"/>
    <w:basedOn w:val="Normalny"/>
    <w:next w:val="Normalny"/>
    <w:link w:val="Nagwek2Znak"/>
    <w:unhideWhenUsed/>
    <w:qFormat/>
    <w:rsid w:val="004E7843"/>
    <w:pPr>
      <w:keepNext/>
      <w:keepLines/>
      <w:numPr>
        <w:ilvl w:val="1"/>
        <w:numId w:val="5"/>
      </w:numPr>
      <w:spacing w:before="200" w:after="0"/>
      <w:outlineLvl w:val="1"/>
    </w:pPr>
    <w:rPr>
      <w:rFonts w:asciiTheme="majorHAnsi" w:eastAsiaTheme="majorEastAsia" w:hAnsiTheme="majorHAnsi" w:cstheme="majorBidi"/>
      <w:b/>
      <w:bCs/>
      <w:color w:val="366092" w:themeColor="accent1"/>
      <w:sz w:val="26"/>
      <w:szCs w:val="26"/>
    </w:rPr>
  </w:style>
  <w:style w:type="paragraph" w:styleId="Nagwek3">
    <w:name w:val="heading 3"/>
    <w:basedOn w:val="Normalny"/>
    <w:next w:val="Normalny"/>
    <w:link w:val="Nagwek3Znak"/>
    <w:unhideWhenUsed/>
    <w:qFormat/>
    <w:rsid w:val="009F6FA6"/>
    <w:pPr>
      <w:keepNext/>
      <w:keepLines/>
      <w:numPr>
        <w:ilvl w:val="2"/>
        <w:numId w:val="5"/>
      </w:numPr>
      <w:spacing w:before="200" w:after="0"/>
      <w:outlineLvl w:val="2"/>
    </w:pPr>
    <w:rPr>
      <w:rFonts w:asciiTheme="majorHAnsi" w:eastAsiaTheme="majorEastAsia" w:hAnsiTheme="majorHAnsi" w:cstheme="majorBidi"/>
      <w:b/>
      <w:bCs/>
      <w:color w:val="366092" w:themeColor="accent1"/>
    </w:rPr>
  </w:style>
  <w:style w:type="paragraph" w:styleId="Nagwek4">
    <w:name w:val="heading 4"/>
    <w:basedOn w:val="Normalny"/>
    <w:next w:val="Normalny"/>
    <w:link w:val="Nagwek4Znak"/>
    <w:unhideWhenUsed/>
    <w:qFormat/>
    <w:rsid w:val="00733F12"/>
    <w:pPr>
      <w:keepNext/>
      <w:keepLines/>
      <w:spacing w:before="200" w:after="0"/>
      <w:outlineLvl w:val="3"/>
    </w:pPr>
    <w:rPr>
      <w:rFonts w:asciiTheme="majorHAnsi" w:eastAsiaTheme="majorEastAsia" w:hAnsiTheme="majorHAnsi" w:cstheme="majorBidi"/>
      <w:b/>
      <w:bCs/>
      <w:i/>
      <w:iCs/>
      <w:color w:val="366092" w:themeColor="accent1"/>
    </w:rPr>
  </w:style>
  <w:style w:type="paragraph" w:styleId="Nagwek5">
    <w:name w:val="heading 5"/>
    <w:basedOn w:val="Normalny"/>
    <w:next w:val="Normalny"/>
    <w:link w:val="Nagwek5Znak"/>
    <w:unhideWhenUsed/>
    <w:qFormat/>
    <w:rsid w:val="00716B8B"/>
    <w:pPr>
      <w:keepNext/>
      <w:keepLines/>
      <w:spacing w:before="200" w:after="0"/>
      <w:outlineLvl w:val="4"/>
    </w:pPr>
    <w:rPr>
      <w:rFonts w:asciiTheme="majorHAnsi" w:eastAsiaTheme="majorEastAsia" w:hAnsiTheme="majorHAnsi" w:cstheme="majorBidi"/>
      <w:color w:val="1B2F48" w:themeColor="accent1" w:themeShade="7F"/>
    </w:rPr>
  </w:style>
  <w:style w:type="paragraph" w:styleId="Nagwek6">
    <w:name w:val="heading 6"/>
    <w:basedOn w:val="Normalny"/>
    <w:next w:val="Normalny"/>
    <w:link w:val="Nagwek6Znak"/>
    <w:unhideWhenUsed/>
    <w:qFormat/>
    <w:rsid w:val="009F6FA6"/>
    <w:pPr>
      <w:keepNext/>
      <w:keepLines/>
      <w:numPr>
        <w:ilvl w:val="5"/>
        <w:numId w:val="5"/>
      </w:numPr>
      <w:spacing w:before="200" w:after="0"/>
      <w:outlineLvl w:val="5"/>
    </w:pPr>
    <w:rPr>
      <w:rFonts w:asciiTheme="majorHAnsi" w:eastAsiaTheme="majorEastAsia" w:hAnsiTheme="majorHAnsi" w:cstheme="majorBidi"/>
      <w:i/>
      <w:iCs/>
      <w:color w:val="1B2F48" w:themeColor="accent1" w:themeShade="7F"/>
    </w:rPr>
  </w:style>
  <w:style w:type="paragraph" w:styleId="Nagwek7">
    <w:name w:val="heading 7"/>
    <w:basedOn w:val="Normalny"/>
    <w:next w:val="Normalny"/>
    <w:link w:val="Nagwek7Znak"/>
    <w:unhideWhenUsed/>
    <w:qFormat/>
    <w:rsid w:val="009F6FA6"/>
    <w:pPr>
      <w:keepNext/>
      <w:keepLines/>
      <w:numPr>
        <w:ilvl w:val="6"/>
        <w:numId w:val="5"/>
      </w:numPr>
      <w:spacing w:before="200" w:after="0"/>
      <w:outlineLvl w:val="6"/>
    </w:pPr>
    <w:rPr>
      <w:rFonts w:asciiTheme="majorHAnsi" w:eastAsiaTheme="majorEastAsia" w:hAnsiTheme="majorHAnsi" w:cstheme="majorBidi"/>
      <w:i/>
      <w:iCs/>
      <w:color w:val="3071C3" w:themeColor="text1" w:themeTint="BF"/>
    </w:rPr>
  </w:style>
  <w:style w:type="paragraph" w:styleId="Nagwek8">
    <w:name w:val="heading 8"/>
    <w:basedOn w:val="Normalny"/>
    <w:next w:val="Normalny"/>
    <w:link w:val="Nagwek8Znak"/>
    <w:unhideWhenUsed/>
    <w:qFormat/>
    <w:rsid w:val="009F6FA6"/>
    <w:pPr>
      <w:keepNext/>
      <w:keepLines/>
      <w:numPr>
        <w:ilvl w:val="7"/>
        <w:numId w:val="5"/>
      </w:numPr>
      <w:spacing w:before="200" w:after="0"/>
      <w:outlineLvl w:val="7"/>
    </w:pPr>
    <w:rPr>
      <w:rFonts w:asciiTheme="majorHAnsi" w:eastAsiaTheme="majorEastAsia" w:hAnsiTheme="majorHAnsi" w:cstheme="majorBidi"/>
      <w:color w:val="3071C3" w:themeColor="text1" w:themeTint="BF"/>
      <w:sz w:val="20"/>
      <w:szCs w:val="20"/>
    </w:rPr>
  </w:style>
  <w:style w:type="paragraph" w:styleId="Nagwek9">
    <w:name w:val="heading 9"/>
    <w:basedOn w:val="Normalny"/>
    <w:next w:val="Normalny"/>
    <w:link w:val="Nagwek9Znak"/>
    <w:unhideWhenUsed/>
    <w:qFormat/>
    <w:rsid w:val="009F6FA6"/>
    <w:pPr>
      <w:keepNext/>
      <w:keepLines/>
      <w:numPr>
        <w:ilvl w:val="8"/>
        <w:numId w:val="5"/>
      </w:numPr>
      <w:spacing w:before="200" w:after="0"/>
      <w:outlineLvl w:val="8"/>
    </w:pPr>
    <w:rPr>
      <w:rFonts w:asciiTheme="majorHAnsi" w:eastAsiaTheme="majorEastAsia" w:hAnsiTheme="majorHAnsi" w:cstheme="majorBidi"/>
      <w:i/>
      <w:iCs/>
      <w:color w:val="3071C3"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Hoofdstuk Znak"/>
    <w:basedOn w:val="Domylnaczcionkaakapitu"/>
    <w:link w:val="Nagwek1"/>
    <w:rsid w:val="0092245E"/>
    <w:rPr>
      <w:rFonts w:asciiTheme="majorHAnsi" w:eastAsiaTheme="majorEastAsia" w:hAnsiTheme="majorHAnsi" w:cstheme="majorBidi"/>
      <w:b/>
      <w:bCs/>
      <w:color w:val="28476D" w:themeColor="accent1" w:themeShade="BF"/>
      <w:sz w:val="28"/>
      <w:szCs w:val="28"/>
    </w:rPr>
  </w:style>
  <w:style w:type="character" w:customStyle="1" w:styleId="Nagwek2Znak">
    <w:name w:val="Nagłówek 2 Znak"/>
    <w:aliases w:val="Paragraaf Znak"/>
    <w:basedOn w:val="Domylnaczcionkaakapitu"/>
    <w:link w:val="Nagwek2"/>
    <w:rsid w:val="004E7843"/>
    <w:rPr>
      <w:rFonts w:asciiTheme="majorHAnsi" w:eastAsiaTheme="majorEastAsia" w:hAnsiTheme="majorHAnsi" w:cstheme="majorBidi"/>
      <w:b/>
      <w:bCs/>
      <w:color w:val="366092" w:themeColor="accent1"/>
      <w:sz w:val="26"/>
      <w:szCs w:val="26"/>
    </w:rPr>
  </w:style>
  <w:style w:type="character" w:customStyle="1" w:styleId="Nagwek3Znak">
    <w:name w:val="Nagłówek 3 Znak"/>
    <w:basedOn w:val="Domylnaczcionkaakapitu"/>
    <w:link w:val="Nagwek3"/>
    <w:rsid w:val="009F6FA6"/>
    <w:rPr>
      <w:rFonts w:asciiTheme="majorHAnsi" w:eastAsiaTheme="majorEastAsia" w:hAnsiTheme="majorHAnsi" w:cstheme="majorBidi"/>
      <w:b/>
      <w:bCs/>
      <w:color w:val="366092" w:themeColor="accent1"/>
    </w:rPr>
  </w:style>
  <w:style w:type="character" w:customStyle="1" w:styleId="Nagwek4Znak">
    <w:name w:val="Nagłówek 4 Znak"/>
    <w:basedOn w:val="Domylnaczcionkaakapitu"/>
    <w:link w:val="Nagwek4"/>
    <w:rsid w:val="009F6FA6"/>
    <w:rPr>
      <w:rFonts w:asciiTheme="majorHAnsi" w:eastAsiaTheme="majorEastAsia" w:hAnsiTheme="majorHAnsi" w:cstheme="majorBidi"/>
      <w:b/>
      <w:bCs/>
      <w:i/>
      <w:iCs/>
      <w:color w:val="366092" w:themeColor="accent1"/>
    </w:rPr>
  </w:style>
  <w:style w:type="character" w:customStyle="1" w:styleId="Nagwek5Znak">
    <w:name w:val="Nagłówek 5 Znak"/>
    <w:basedOn w:val="Domylnaczcionkaakapitu"/>
    <w:link w:val="Nagwek5"/>
    <w:rsid w:val="009F6FA6"/>
    <w:rPr>
      <w:rFonts w:asciiTheme="majorHAnsi" w:eastAsiaTheme="majorEastAsia" w:hAnsiTheme="majorHAnsi" w:cstheme="majorBidi"/>
      <w:color w:val="1B2F48" w:themeColor="accent1" w:themeShade="7F"/>
    </w:rPr>
  </w:style>
  <w:style w:type="character" w:customStyle="1" w:styleId="Nagwek6Znak">
    <w:name w:val="Nagłówek 6 Znak"/>
    <w:basedOn w:val="Domylnaczcionkaakapitu"/>
    <w:link w:val="Nagwek6"/>
    <w:rsid w:val="009F6FA6"/>
    <w:rPr>
      <w:rFonts w:asciiTheme="majorHAnsi" w:eastAsiaTheme="majorEastAsia" w:hAnsiTheme="majorHAnsi" w:cstheme="majorBidi"/>
      <w:i/>
      <w:iCs/>
      <w:color w:val="1B2F48" w:themeColor="accent1" w:themeShade="7F"/>
    </w:rPr>
  </w:style>
  <w:style w:type="character" w:customStyle="1" w:styleId="Nagwek7Znak">
    <w:name w:val="Nagłówek 7 Znak"/>
    <w:basedOn w:val="Domylnaczcionkaakapitu"/>
    <w:link w:val="Nagwek7"/>
    <w:rsid w:val="009F6FA6"/>
    <w:rPr>
      <w:rFonts w:asciiTheme="majorHAnsi" w:eastAsiaTheme="majorEastAsia" w:hAnsiTheme="majorHAnsi" w:cstheme="majorBidi"/>
      <w:i/>
      <w:iCs/>
      <w:color w:val="3071C3" w:themeColor="text1" w:themeTint="BF"/>
    </w:rPr>
  </w:style>
  <w:style w:type="character" w:customStyle="1" w:styleId="Nagwek8Znak">
    <w:name w:val="Nagłówek 8 Znak"/>
    <w:basedOn w:val="Domylnaczcionkaakapitu"/>
    <w:link w:val="Nagwek8"/>
    <w:rsid w:val="009F6FA6"/>
    <w:rPr>
      <w:rFonts w:asciiTheme="majorHAnsi" w:eastAsiaTheme="majorEastAsia" w:hAnsiTheme="majorHAnsi" w:cstheme="majorBidi"/>
      <w:color w:val="3071C3" w:themeColor="text1" w:themeTint="BF"/>
      <w:sz w:val="20"/>
      <w:szCs w:val="20"/>
    </w:rPr>
  </w:style>
  <w:style w:type="character" w:customStyle="1" w:styleId="Nagwek9Znak">
    <w:name w:val="Nagłówek 9 Znak"/>
    <w:basedOn w:val="Domylnaczcionkaakapitu"/>
    <w:link w:val="Nagwek9"/>
    <w:rsid w:val="009F6FA6"/>
    <w:rPr>
      <w:rFonts w:asciiTheme="majorHAnsi" w:eastAsiaTheme="majorEastAsia" w:hAnsiTheme="majorHAnsi" w:cstheme="majorBidi"/>
      <w:i/>
      <w:iCs/>
      <w:color w:val="3071C3" w:themeColor="text1" w:themeTint="BF"/>
      <w:sz w:val="20"/>
      <w:szCs w:val="20"/>
    </w:rPr>
  </w:style>
  <w:style w:type="paragraph" w:styleId="Akapitzlist">
    <w:name w:val="List Paragraph"/>
    <w:basedOn w:val="Normalny"/>
    <w:link w:val="AkapitzlistZnak"/>
    <w:qFormat/>
    <w:rsid w:val="00C827E3"/>
    <w:pPr>
      <w:ind w:left="720"/>
      <w:contextualSpacing/>
    </w:pPr>
  </w:style>
  <w:style w:type="character" w:customStyle="1" w:styleId="AkapitzlistZnak">
    <w:name w:val="Akapit z listą Znak"/>
    <w:link w:val="Akapitzlist"/>
    <w:locked/>
    <w:rsid w:val="005950B9"/>
  </w:style>
  <w:style w:type="table" w:styleId="Tabela-Siatka">
    <w:name w:val="Table Grid"/>
    <w:aliases w:val="nowy"/>
    <w:basedOn w:val="Standardowy"/>
    <w:rsid w:val="00C82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nhideWhenUsed/>
    <w:rsid w:val="00925DC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rsid w:val="00925DC2"/>
    <w:rPr>
      <w:rFonts w:ascii="Tahoma" w:hAnsi="Tahoma" w:cs="Tahoma"/>
      <w:sz w:val="16"/>
      <w:szCs w:val="16"/>
    </w:rPr>
  </w:style>
  <w:style w:type="table" w:customStyle="1" w:styleId="Jasnalistaakcent11">
    <w:name w:val="Jasna lista — akcent 11"/>
    <w:basedOn w:val="Standardowy"/>
    <w:uiPriority w:val="61"/>
    <w:rsid w:val="00734B69"/>
    <w:pPr>
      <w:spacing w:after="0" w:line="240" w:lineRule="auto"/>
    </w:pPr>
    <w:tblPr>
      <w:tblStyleRowBandSize w:val="1"/>
      <w:tblStyleColBandSize w:val="1"/>
      <w:tblInd w:w="0" w:type="dxa"/>
      <w:tblBorders>
        <w:top w:val="single" w:sz="8" w:space="0" w:color="366092" w:themeColor="accent1"/>
        <w:left w:val="single" w:sz="8" w:space="0" w:color="366092" w:themeColor="accent1"/>
        <w:bottom w:val="single" w:sz="8" w:space="0" w:color="366092" w:themeColor="accent1"/>
        <w:right w:val="single" w:sz="8" w:space="0" w:color="366092"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366092" w:themeFill="accent1"/>
      </w:tcPr>
    </w:tblStylePr>
    <w:tblStylePr w:type="lastRow">
      <w:pPr>
        <w:spacing w:before="0" w:after="0" w:line="240" w:lineRule="auto"/>
      </w:pPr>
      <w:rPr>
        <w:b/>
        <w:bCs/>
      </w:rPr>
      <w:tblPr/>
      <w:tcPr>
        <w:tcBorders>
          <w:top w:val="double" w:sz="6" w:space="0" w:color="366092" w:themeColor="accent1"/>
          <w:left w:val="single" w:sz="8" w:space="0" w:color="366092" w:themeColor="accent1"/>
          <w:bottom w:val="single" w:sz="8" w:space="0" w:color="366092" w:themeColor="accent1"/>
          <w:right w:val="single" w:sz="8" w:space="0" w:color="366092" w:themeColor="accent1"/>
        </w:tcBorders>
      </w:tcPr>
    </w:tblStylePr>
    <w:tblStylePr w:type="firstCol">
      <w:rPr>
        <w:b/>
        <w:bCs/>
      </w:rPr>
    </w:tblStylePr>
    <w:tblStylePr w:type="lastCol">
      <w:rPr>
        <w:b/>
        <w:bCs/>
      </w:rPr>
    </w:tblStylePr>
    <w:tblStylePr w:type="band1Vert">
      <w:tblPr/>
      <w:tcPr>
        <w:tcBorders>
          <w:top w:val="single" w:sz="8" w:space="0" w:color="366092" w:themeColor="accent1"/>
          <w:left w:val="single" w:sz="8" w:space="0" w:color="366092" w:themeColor="accent1"/>
          <w:bottom w:val="single" w:sz="8" w:space="0" w:color="366092" w:themeColor="accent1"/>
          <w:right w:val="single" w:sz="8" w:space="0" w:color="366092" w:themeColor="accent1"/>
        </w:tcBorders>
      </w:tcPr>
    </w:tblStylePr>
    <w:tblStylePr w:type="band1Horz">
      <w:tblPr/>
      <w:tcPr>
        <w:tcBorders>
          <w:top w:val="single" w:sz="8" w:space="0" w:color="366092" w:themeColor="accent1"/>
          <w:left w:val="single" w:sz="8" w:space="0" w:color="366092" w:themeColor="accent1"/>
          <w:bottom w:val="single" w:sz="8" w:space="0" w:color="366092" w:themeColor="accent1"/>
          <w:right w:val="single" w:sz="8" w:space="0" w:color="366092" w:themeColor="accent1"/>
        </w:tcBorders>
      </w:tcPr>
    </w:tblStylePr>
  </w:style>
  <w:style w:type="paragraph" w:styleId="Tekstprzypisukocowego">
    <w:name w:val="endnote text"/>
    <w:basedOn w:val="Normalny"/>
    <w:link w:val="TekstprzypisukocowegoZnak"/>
    <w:semiHidden/>
    <w:unhideWhenUsed/>
    <w:rsid w:val="00AA21EB"/>
    <w:pPr>
      <w:spacing w:after="0" w:line="240" w:lineRule="auto"/>
    </w:pPr>
    <w:rPr>
      <w:sz w:val="20"/>
      <w:szCs w:val="20"/>
    </w:rPr>
  </w:style>
  <w:style w:type="character" w:customStyle="1" w:styleId="TekstprzypisukocowegoZnak">
    <w:name w:val="Tekst przypisu końcowego Znak"/>
    <w:basedOn w:val="Domylnaczcionkaakapitu"/>
    <w:link w:val="Tekstprzypisukocowego"/>
    <w:semiHidden/>
    <w:rsid w:val="00AA21EB"/>
    <w:rPr>
      <w:sz w:val="20"/>
      <w:szCs w:val="20"/>
    </w:rPr>
  </w:style>
  <w:style w:type="character" w:styleId="Odwoanieprzypisukocowego">
    <w:name w:val="endnote reference"/>
    <w:basedOn w:val="Domylnaczcionkaakapitu"/>
    <w:semiHidden/>
    <w:unhideWhenUsed/>
    <w:rsid w:val="00AA21EB"/>
    <w:rPr>
      <w:vertAlign w:val="superscript"/>
    </w:rPr>
  </w:style>
  <w:style w:type="paragraph" w:styleId="Tytu">
    <w:name w:val="Title"/>
    <w:basedOn w:val="Normalny"/>
    <w:next w:val="Normalny"/>
    <w:link w:val="TytuZnak"/>
    <w:qFormat/>
    <w:rsid w:val="001652AA"/>
    <w:pPr>
      <w:pBdr>
        <w:bottom w:val="single" w:sz="8" w:space="4" w:color="366092"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rsid w:val="001652AA"/>
    <w:rPr>
      <w:rFonts w:asciiTheme="majorHAnsi" w:eastAsiaTheme="majorEastAsia" w:hAnsiTheme="majorHAnsi" w:cstheme="majorBidi"/>
      <w:color w:val="17365D" w:themeColor="text2" w:themeShade="BF"/>
      <w:spacing w:val="5"/>
      <w:kern w:val="28"/>
      <w:sz w:val="52"/>
      <w:szCs w:val="52"/>
    </w:rPr>
  </w:style>
  <w:style w:type="character" w:styleId="Tytuksiki">
    <w:name w:val="Book Title"/>
    <w:basedOn w:val="Domylnaczcionkaakapitu"/>
    <w:qFormat/>
    <w:rsid w:val="001652AA"/>
    <w:rPr>
      <w:b/>
      <w:bCs/>
      <w:smallCaps/>
      <w:spacing w:val="5"/>
    </w:rPr>
  </w:style>
  <w:style w:type="paragraph" w:styleId="Nagwek">
    <w:name w:val="header"/>
    <w:aliases w:val="Nagłówek strony Znak"/>
    <w:basedOn w:val="Normalny"/>
    <w:link w:val="NagwekZnak"/>
    <w:uiPriority w:val="99"/>
    <w:unhideWhenUsed/>
    <w:rsid w:val="008E04BB"/>
    <w:pPr>
      <w:tabs>
        <w:tab w:val="center" w:pos="4536"/>
        <w:tab w:val="right" w:pos="9072"/>
      </w:tabs>
      <w:spacing w:after="0" w:line="240" w:lineRule="auto"/>
    </w:pPr>
  </w:style>
  <w:style w:type="character" w:customStyle="1" w:styleId="NagwekZnak">
    <w:name w:val="Nagłówek Znak"/>
    <w:aliases w:val="Nagłówek strony Znak Znak"/>
    <w:basedOn w:val="Domylnaczcionkaakapitu"/>
    <w:link w:val="Nagwek"/>
    <w:uiPriority w:val="99"/>
    <w:rsid w:val="008E04BB"/>
  </w:style>
  <w:style w:type="paragraph" w:styleId="Stopka">
    <w:name w:val="footer"/>
    <w:basedOn w:val="Normalny"/>
    <w:link w:val="StopkaZnak"/>
    <w:unhideWhenUsed/>
    <w:rsid w:val="008E04BB"/>
    <w:pPr>
      <w:tabs>
        <w:tab w:val="center" w:pos="4536"/>
        <w:tab w:val="right" w:pos="9072"/>
      </w:tabs>
      <w:spacing w:after="0" w:line="240" w:lineRule="auto"/>
    </w:pPr>
  </w:style>
  <w:style w:type="character" w:customStyle="1" w:styleId="StopkaZnak">
    <w:name w:val="Stopka Znak"/>
    <w:basedOn w:val="Domylnaczcionkaakapitu"/>
    <w:link w:val="Stopka"/>
    <w:rsid w:val="008E04BB"/>
  </w:style>
  <w:style w:type="paragraph" w:styleId="Podtytu">
    <w:name w:val="Subtitle"/>
    <w:basedOn w:val="Normalny"/>
    <w:next w:val="Normalny"/>
    <w:link w:val="PodtytuZnak"/>
    <w:autoRedefine/>
    <w:qFormat/>
    <w:rsid w:val="00102EA9"/>
    <w:pPr>
      <w:numPr>
        <w:ilvl w:val="1"/>
      </w:numPr>
      <w:spacing w:before="100" w:beforeAutospacing="1"/>
      <w:jc w:val="center"/>
    </w:pPr>
    <w:rPr>
      <w:rFonts w:eastAsia="Times New Roman" w:cs="Times New Roman"/>
      <w:b/>
      <w:iCs/>
      <w:color w:val="1F497D"/>
      <w:spacing w:val="15"/>
      <w:sz w:val="32"/>
      <w:szCs w:val="24"/>
      <w:lang w:eastAsia="pl-PL"/>
    </w:rPr>
  </w:style>
  <w:style w:type="character" w:customStyle="1" w:styleId="PodtytuZnak">
    <w:name w:val="Podtytuł Znak"/>
    <w:basedOn w:val="Domylnaczcionkaakapitu"/>
    <w:link w:val="Podtytu"/>
    <w:rsid w:val="00102EA9"/>
    <w:rPr>
      <w:rFonts w:eastAsia="Times New Roman" w:cs="Times New Roman"/>
      <w:b/>
      <w:iCs/>
      <w:color w:val="1F497D"/>
      <w:spacing w:val="15"/>
      <w:sz w:val="32"/>
      <w:szCs w:val="24"/>
      <w:lang w:eastAsia="pl-PL"/>
    </w:rPr>
  </w:style>
  <w:style w:type="paragraph" w:styleId="Legenda">
    <w:name w:val="caption"/>
    <w:basedOn w:val="Normalny"/>
    <w:next w:val="Normalny"/>
    <w:unhideWhenUsed/>
    <w:qFormat/>
    <w:rsid w:val="005950B9"/>
    <w:pPr>
      <w:spacing w:before="60" w:after="60" w:line="240" w:lineRule="auto"/>
      <w:jc w:val="center"/>
    </w:pPr>
    <w:rPr>
      <w:b/>
      <w:bCs/>
      <w:color w:val="366092" w:themeColor="accent1"/>
      <w:sz w:val="18"/>
      <w:szCs w:val="18"/>
    </w:rPr>
  </w:style>
  <w:style w:type="character" w:styleId="Hipercze">
    <w:name w:val="Hyperlink"/>
    <w:basedOn w:val="Domylnaczcionkaakapitu"/>
    <w:uiPriority w:val="99"/>
    <w:unhideWhenUsed/>
    <w:rsid w:val="0022615B"/>
    <w:rPr>
      <w:color w:val="0000FF"/>
      <w:u w:val="single"/>
    </w:rPr>
  </w:style>
  <w:style w:type="paragraph" w:customStyle="1" w:styleId="rdo">
    <w:name w:val="źródło"/>
    <w:basedOn w:val="Normalny"/>
    <w:link w:val="rdoZnak"/>
    <w:qFormat/>
    <w:rsid w:val="005950B9"/>
    <w:pPr>
      <w:keepNext/>
      <w:spacing w:before="120" w:after="120" w:line="240" w:lineRule="auto"/>
      <w:jc w:val="center"/>
    </w:pPr>
    <w:rPr>
      <w:rFonts w:ascii="Calibri" w:eastAsia="Batang" w:hAnsi="Calibri" w:cs="Calibri"/>
      <w:i/>
      <w:sz w:val="20"/>
      <w:szCs w:val="20"/>
    </w:rPr>
  </w:style>
  <w:style w:type="character" w:customStyle="1" w:styleId="rdoZnak">
    <w:name w:val="źródło Znak"/>
    <w:basedOn w:val="Domylnaczcionkaakapitu"/>
    <w:link w:val="rdo"/>
    <w:rsid w:val="005950B9"/>
    <w:rPr>
      <w:rFonts w:ascii="Calibri" w:eastAsia="Batang" w:hAnsi="Calibri" w:cs="Calibri"/>
      <w:i/>
      <w:sz w:val="20"/>
      <w:szCs w:val="20"/>
    </w:rPr>
  </w:style>
  <w:style w:type="paragraph" w:styleId="Tekstprzypisudolnego">
    <w:name w:val="footnote text"/>
    <w:aliases w:val="Znak,single space,FOOTNOTES,fn,Podrozdział,Fußnote,Footnote,Podrozdzia3,przypis,Tekst przypisu,Tekst przypisu Znak Znak Znak Znak,Tekst przypisu Znak Znak Znak Znak Znak,Tekst przypisu Znak Znak Znak Znak Znak Znak Znak, Znak,o"/>
    <w:basedOn w:val="Normalny"/>
    <w:link w:val="TekstprzypisudolnegoZnak1"/>
    <w:unhideWhenUsed/>
    <w:qFormat/>
    <w:rsid w:val="005950B9"/>
    <w:pPr>
      <w:spacing w:after="0" w:line="240" w:lineRule="auto"/>
    </w:pPr>
    <w:rPr>
      <w:sz w:val="20"/>
      <w:szCs w:val="20"/>
    </w:rPr>
  </w:style>
  <w:style w:type="character" w:customStyle="1" w:styleId="TekstprzypisudolnegoZnak1">
    <w:name w:val="Tekst przypisu dolnego Znak1"/>
    <w:aliases w:val="Znak Znak1,single space Znak1,FOOTNOTES Znak1,fn Znak1,Podrozdział Znak1,Fußnote Znak1,Footnote Znak1,Podrozdzia3 Znak1,przypis Znak1,Tekst przypisu Znak1,Tekst przypisu Znak Znak Znak Znak Znak2, Znak Znak,o Znak"/>
    <w:basedOn w:val="Domylnaczcionkaakapitu"/>
    <w:link w:val="Tekstprzypisudolnego"/>
    <w:rsid w:val="005950B9"/>
    <w:rPr>
      <w:sz w:val="20"/>
      <w:szCs w:val="20"/>
    </w:rPr>
  </w:style>
  <w:style w:type="character" w:styleId="Odwoanieprzypisudolnego">
    <w:name w:val="footnote reference"/>
    <w:aliases w:val="Footnote Reference Number,Odwołanie przypisu,EN Footnote Reference,Times 10 Point,Exposant 3 Point,Footnote symbol,Footnote reference number,note TESI,stylish,SUPERS,Footnote number,Ref,de nota al pie,Odwo3anie przypisu,number"/>
    <w:basedOn w:val="Domylnaczcionkaakapitu"/>
    <w:unhideWhenUsed/>
    <w:rsid w:val="005950B9"/>
    <w:rPr>
      <w:vertAlign w:val="superscript"/>
    </w:rPr>
  </w:style>
  <w:style w:type="character" w:styleId="Uwydatnienie">
    <w:name w:val="Emphasis"/>
    <w:basedOn w:val="Domylnaczcionkaakapitu"/>
    <w:qFormat/>
    <w:rsid w:val="0030478B"/>
    <w:rPr>
      <w:i/>
      <w:iCs/>
    </w:rPr>
  </w:style>
  <w:style w:type="paragraph" w:styleId="Listapunktowana2">
    <w:name w:val="List Bullet 2"/>
    <w:basedOn w:val="Normalny"/>
    <w:unhideWhenUsed/>
    <w:rsid w:val="00BC290B"/>
    <w:pPr>
      <w:numPr>
        <w:numId w:val="1"/>
      </w:numPr>
      <w:contextualSpacing/>
    </w:pPr>
  </w:style>
  <w:style w:type="paragraph" w:styleId="Tekstpodstawowy">
    <w:name w:val="Body Text"/>
    <w:aliases w:val="b,bt,block style,Tekst podstawowy Znak Znak Znak Znak Znak Znak Znak Znak,aga,Tekst podstawowyG,szaro,wypunktowanie,Tekst podstawowy-bold,numerowany,b1,Tekst podstawowy Znak Znak Znak Znak Znak,(F2),anita1"/>
    <w:basedOn w:val="Normalny"/>
    <w:link w:val="TekstpodstawowyZnak"/>
    <w:unhideWhenUsed/>
    <w:rsid w:val="00BC290B"/>
    <w:pPr>
      <w:spacing w:after="120"/>
    </w:pPr>
  </w:style>
  <w:style w:type="character" w:customStyle="1" w:styleId="TekstpodstawowyZnak">
    <w:name w:val="Tekst podstawowy Znak"/>
    <w:aliases w:val="b Znak,bt Znak,block style Znak,Tekst podstawowy Znak Znak Znak Znak Znak Znak Znak Znak Znak,aga Znak,Tekst podstawowyG Znak,szaro Znak,wypunktowanie Znak,Tekst podstawowy-bold Znak,numerowany Znak,b1 Znak,(F2) Znak,anita1 Znak"/>
    <w:basedOn w:val="Domylnaczcionkaakapitu"/>
    <w:link w:val="Tekstpodstawowy"/>
    <w:rsid w:val="00BC290B"/>
  </w:style>
  <w:style w:type="character" w:styleId="Wyrnienieintensywne">
    <w:name w:val="Intense Emphasis"/>
    <w:basedOn w:val="Domylnaczcionkaakapitu"/>
    <w:qFormat/>
    <w:rsid w:val="00BC290B"/>
    <w:rPr>
      <w:b/>
      <w:bCs/>
      <w:i/>
      <w:iCs/>
      <w:color w:val="366092" w:themeColor="accent1"/>
    </w:rPr>
  </w:style>
  <w:style w:type="table" w:customStyle="1" w:styleId="tabelaIBS">
    <w:name w:val="tabela_IBS"/>
    <w:basedOn w:val="Standardowy"/>
    <w:uiPriority w:val="99"/>
    <w:rsid w:val="00BC290B"/>
    <w:pPr>
      <w:spacing w:before="60" w:after="60" w:line="240" w:lineRule="auto"/>
    </w:pPr>
    <w:rPr>
      <w:sz w:val="20"/>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i w:val="0"/>
        <w:color w:val="FFFFFF" w:themeColor="background1"/>
        <w:sz w:val="20"/>
      </w:rPr>
      <w:tblPr/>
      <w:tcPr>
        <w:shd w:val="clear" w:color="auto" w:fill="1F497D" w:themeFill="text2"/>
      </w:tcPr>
    </w:tblStylePr>
  </w:style>
  <w:style w:type="paragraph" w:styleId="Spistreci2">
    <w:name w:val="toc 2"/>
    <w:basedOn w:val="Normalny"/>
    <w:next w:val="Normalny"/>
    <w:autoRedefine/>
    <w:uiPriority w:val="39"/>
    <w:unhideWhenUsed/>
    <w:qFormat/>
    <w:rsid w:val="00DB5A8B"/>
    <w:pPr>
      <w:tabs>
        <w:tab w:val="left" w:pos="880"/>
        <w:tab w:val="right" w:leader="dot" w:pos="9060"/>
      </w:tabs>
      <w:spacing w:after="100"/>
      <w:ind w:left="220"/>
    </w:pPr>
  </w:style>
  <w:style w:type="paragraph" w:styleId="Spistreci1">
    <w:name w:val="toc 1"/>
    <w:basedOn w:val="Normalny"/>
    <w:next w:val="Normalny"/>
    <w:autoRedefine/>
    <w:uiPriority w:val="39"/>
    <w:unhideWhenUsed/>
    <w:qFormat/>
    <w:rsid w:val="00733F12"/>
    <w:pPr>
      <w:spacing w:after="100"/>
    </w:pPr>
  </w:style>
  <w:style w:type="character" w:styleId="Odwoaniedokomentarza">
    <w:name w:val="annotation reference"/>
    <w:basedOn w:val="Domylnaczcionkaakapitu"/>
    <w:unhideWhenUsed/>
    <w:rsid w:val="00900BF4"/>
    <w:rPr>
      <w:sz w:val="16"/>
      <w:szCs w:val="16"/>
    </w:rPr>
  </w:style>
  <w:style w:type="paragraph" w:styleId="Tekstkomentarza">
    <w:name w:val="annotation text"/>
    <w:basedOn w:val="Normalny"/>
    <w:link w:val="TekstkomentarzaZnak"/>
    <w:unhideWhenUsed/>
    <w:rsid w:val="00900BF4"/>
    <w:pPr>
      <w:spacing w:line="240" w:lineRule="auto"/>
    </w:pPr>
    <w:rPr>
      <w:sz w:val="20"/>
      <w:szCs w:val="20"/>
    </w:rPr>
  </w:style>
  <w:style w:type="character" w:customStyle="1" w:styleId="TekstkomentarzaZnak">
    <w:name w:val="Tekst komentarza Znak"/>
    <w:basedOn w:val="Domylnaczcionkaakapitu"/>
    <w:link w:val="Tekstkomentarza"/>
    <w:rsid w:val="00900BF4"/>
    <w:rPr>
      <w:sz w:val="20"/>
      <w:szCs w:val="20"/>
    </w:rPr>
  </w:style>
  <w:style w:type="paragraph" w:styleId="Tematkomentarza">
    <w:name w:val="annotation subject"/>
    <w:basedOn w:val="Tekstkomentarza"/>
    <w:next w:val="Tekstkomentarza"/>
    <w:link w:val="TematkomentarzaZnak"/>
    <w:semiHidden/>
    <w:unhideWhenUsed/>
    <w:rsid w:val="00900BF4"/>
    <w:rPr>
      <w:b/>
      <w:bCs/>
    </w:rPr>
  </w:style>
  <w:style w:type="character" w:customStyle="1" w:styleId="TematkomentarzaZnak">
    <w:name w:val="Temat komentarza Znak"/>
    <w:basedOn w:val="TekstkomentarzaZnak"/>
    <w:link w:val="Tematkomentarza"/>
    <w:semiHidden/>
    <w:rsid w:val="00900BF4"/>
    <w:rPr>
      <w:b/>
      <w:bCs/>
      <w:sz w:val="20"/>
      <w:szCs w:val="20"/>
    </w:rPr>
  </w:style>
  <w:style w:type="table" w:customStyle="1" w:styleId="nowy1">
    <w:name w:val="nowy1"/>
    <w:basedOn w:val="Standardowy"/>
    <w:next w:val="Tabela-Siatka"/>
    <w:rsid w:val="00F72F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ndokumentu">
    <w:name w:val="Document Map"/>
    <w:basedOn w:val="Normalny"/>
    <w:link w:val="PlandokumentuZnak"/>
    <w:uiPriority w:val="99"/>
    <w:semiHidden/>
    <w:unhideWhenUsed/>
    <w:rsid w:val="005C6476"/>
    <w:pPr>
      <w:spacing w:after="0" w:line="240" w:lineRule="auto"/>
    </w:pPr>
    <w:rPr>
      <w:rFonts w:ascii="Tahoma" w:hAnsi="Tahoma" w:cs="Tahoma"/>
      <w:sz w:val="16"/>
      <w:szCs w:val="16"/>
    </w:rPr>
  </w:style>
  <w:style w:type="character" w:customStyle="1" w:styleId="PlandokumentuZnak">
    <w:name w:val="Plan dokumentu Znak"/>
    <w:basedOn w:val="Domylnaczcionkaakapitu"/>
    <w:link w:val="Plandokumentu"/>
    <w:uiPriority w:val="99"/>
    <w:semiHidden/>
    <w:rsid w:val="005C6476"/>
    <w:rPr>
      <w:rFonts w:ascii="Tahoma" w:hAnsi="Tahoma" w:cs="Tahoma"/>
      <w:sz w:val="16"/>
      <w:szCs w:val="16"/>
    </w:rPr>
  </w:style>
  <w:style w:type="paragraph" w:customStyle="1" w:styleId="CoffeyParagraph">
    <w:name w:val="Coffey Paragraph"/>
    <w:basedOn w:val="Normalny"/>
    <w:uiPriority w:val="99"/>
    <w:qFormat/>
    <w:rsid w:val="000D5E41"/>
    <w:pPr>
      <w:spacing w:before="77" w:after="113" w:line="250" w:lineRule="atLeast"/>
      <w:jc w:val="left"/>
    </w:pPr>
    <w:rPr>
      <w:rFonts w:ascii="Arial" w:eastAsia="Times New Roman" w:hAnsi="Arial" w:cs="Times New Roman"/>
      <w:sz w:val="20"/>
      <w:szCs w:val="24"/>
    </w:rPr>
  </w:style>
  <w:style w:type="character" w:customStyle="1" w:styleId="TekstprzypisudolnegoZnak">
    <w:name w:val="Tekst przypisu dolnego Znak"/>
    <w:aliases w:val="Znak Znak,single space Znak,FOOTNOTES Znak,fn Znak,Podrozdział Znak,Fußnote Znak,Footnote Znak,Podrozdzia3 Znak,przypis Znak,Tekst przypisu Znak,Tekst przypisu Znak Znak Znak Znak Znak1,-E Fuﬂnotentext Znak,footnote text Znak"/>
    <w:basedOn w:val="Domylnaczcionkaakapitu"/>
    <w:locked/>
    <w:rsid w:val="00A216C8"/>
    <w:rPr>
      <w:sz w:val="20"/>
      <w:szCs w:val="20"/>
    </w:rPr>
  </w:style>
  <w:style w:type="table" w:customStyle="1" w:styleId="Tabela-Siatka1">
    <w:name w:val="Tabela - Siatka1"/>
    <w:basedOn w:val="Standardowy"/>
    <w:uiPriority w:val="39"/>
    <w:rsid w:val="00A216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tandardowy1">
    <w:name w:val="Standardowy1"/>
    <w:uiPriority w:val="99"/>
    <w:semiHidden/>
    <w:rsid w:val="003D7B81"/>
    <w:tblPr>
      <w:tblCellMar>
        <w:top w:w="0" w:type="dxa"/>
        <w:left w:w="108" w:type="dxa"/>
        <w:bottom w:w="0" w:type="dxa"/>
        <w:right w:w="108" w:type="dxa"/>
      </w:tblCellMar>
    </w:tblPr>
  </w:style>
  <w:style w:type="paragraph" w:customStyle="1" w:styleId="Nagwek11">
    <w:name w:val="Nagłówek 11"/>
    <w:basedOn w:val="Normalny"/>
    <w:rsid w:val="00183947"/>
  </w:style>
  <w:style w:type="paragraph" w:customStyle="1" w:styleId="Nagwek21">
    <w:name w:val="Nagłówek 21"/>
    <w:basedOn w:val="Normalny"/>
    <w:rsid w:val="00183947"/>
  </w:style>
  <w:style w:type="paragraph" w:customStyle="1" w:styleId="Nagwek31">
    <w:name w:val="Nagłówek 31"/>
    <w:basedOn w:val="Normalny"/>
    <w:rsid w:val="00183947"/>
  </w:style>
  <w:style w:type="paragraph" w:customStyle="1" w:styleId="Nagwek51">
    <w:name w:val="Nagłówek 51"/>
    <w:basedOn w:val="Normalny"/>
    <w:rsid w:val="00183947"/>
  </w:style>
  <w:style w:type="paragraph" w:customStyle="1" w:styleId="Nagwek61">
    <w:name w:val="Nagłówek 61"/>
    <w:basedOn w:val="Normalny"/>
    <w:rsid w:val="00183947"/>
  </w:style>
  <w:style w:type="paragraph" w:customStyle="1" w:styleId="Nagwek71">
    <w:name w:val="Nagłówek 71"/>
    <w:basedOn w:val="Normalny"/>
    <w:rsid w:val="00183947"/>
  </w:style>
  <w:style w:type="paragraph" w:customStyle="1" w:styleId="Nagwek81">
    <w:name w:val="Nagłówek 81"/>
    <w:basedOn w:val="Normalny"/>
    <w:rsid w:val="00183947"/>
  </w:style>
  <w:style w:type="paragraph" w:customStyle="1" w:styleId="Nagwek91">
    <w:name w:val="Nagłówek 91"/>
    <w:basedOn w:val="Normalny"/>
    <w:rsid w:val="00183947"/>
  </w:style>
  <w:style w:type="character" w:styleId="UyteHipercze">
    <w:name w:val="FollowedHyperlink"/>
    <w:basedOn w:val="Domylnaczcionkaakapitu"/>
    <w:uiPriority w:val="99"/>
    <w:semiHidden/>
    <w:unhideWhenUsed/>
    <w:rsid w:val="00C20268"/>
    <w:rPr>
      <w:color w:val="800080" w:themeColor="followedHyperlink"/>
      <w:u w:val="single"/>
    </w:rPr>
  </w:style>
  <w:style w:type="paragraph" w:styleId="Poprawka">
    <w:name w:val="Revision"/>
    <w:hidden/>
    <w:semiHidden/>
    <w:rsid w:val="001C4D7A"/>
    <w:pPr>
      <w:spacing w:after="0" w:line="240" w:lineRule="auto"/>
    </w:pPr>
  </w:style>
  <w:style w:type="table" w:customStyle="1" w:styleId="nowy2">
    <w:name w:val="nowy2"/>
    <w:basedOn w:val="Standardowy"/>
    <w:next w:val="Tabela-Siatka"/>
    <w:uiPriority w:val="59"/>
    <w:rsid w:val="00A267E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apunktowana">
    <w:name w:val="List Bullet"/>
    <w:basedOn w:val="Normalny"/>
    <w:unhideWhenUsed/>
    <w:rsid w:val="00960357"/>
    <w:pPr>
      <w:numPr>
        <w:numId w:val="2"/>
      </w:numPr>
      <w:contextualSpacing/>
    </w:pPr>
  </w:style>
  <w:style w:type="table" w:customStyle="1" w:styleId="nowy3">
    <w:name w:val="nowy3"/>
    <w:basedOn w:val="Standardowy"/>
    <w:next w:val="Tabela-Siatka"/>
    <w:uiPriority w:val="59"/>
    <w:rsid w:val="00EF1D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nyWeb">
    <w:name w:val="Normal (Web)"/>
    <w:aliases w:val=" Znak Znak Znak Znak, Znak Znak Znak Znak Znak, Znak Znak4,Znak Znak Znak Znak,Znak Znak Znak Znak Znak,Znak Znak4"/>
    <w:basedOn w:val="Normalny"/>
    <w:link w:val="NormalnyWebZnak"/>
    <w:uiPriority w:val="99"/>
    <w:unhideWhenUsed/>
    <w:qFormat/>
    <w:rsid w:val="008905D1"/>
    <w:pPr>
      <w:spacing w:before="100" w:beforeAutospacing="1" w:after="100" w:afterAutospacing="1" w:line="240" w:lineRule="auto"/>
      <w:jc w:val="left"/>
    </w:pPr>
    <w:rPr>
      <w:rFonts w:ascii="Times New Roman" w:eastAsiaTheme="minorEastAsia" w:hAnsi="Times New Roman" w:cs="Times New Roman"/>
      <w:sz w:val="24"/>
      <w:szCs w:val="24"/>
      <w:lang w:eastAsia="pl-PL"/>
    </w:rPr>
  </w:style>
  <w:style w:type="paragraph" w:styleId="Bezodstpw">
    <w:name w:val="No Spacing"/>
    <w:link w:val="BezodstpwZnak"/>
    <w:qFormat/>
    <w:rsid w:val="00572C1B"/>
    <w:pPr>
      <w:spacing w:after="0" w:line="240" w:lineRule="auto"/>
    </w:pPr>
    <w:rPr>
      <w:rFonts w:eastAsiaTheme="minorEastAsia"/>
    </w:rPr>
  </w:style>
  <w:style w:type="character" w:customStyle="1" w:styleId="BezodstpwZnak">
    <w:name w:val="Bez odstępów Znak"/>
    <w:basedOn w:val="Domylnaczcionkaakapitu"/>
    <w:link w:val="Bezodstpw"/>
    <w:rsid w:val="00572C1B"/>
    <w:rPr>
      <w:rFonts w:eastAsiaTheme="minorEastAsia"/>
    </w:rPr>
  </w:style>
  <w:style w:type="character" w:styleId="Pogrubienie">
    <w:name w:val="Strong"/>
    <w:basedOn w:val="Domylnaczcionkaakapitu"/>
    <w:qFormat/>
    <w:rsid w:val="001D379F"/>
    <w:rPr>
      <w:b/>
      <w:bCs/>
    </w:rPr>
  </w:style>
  <w:style w:type="paragraph" w:customStyle="1" w:styleId="FreeForm">
    <w:name w:val="Free Form"/>
    <w:rsid w:val="001D379F"/>
    <w:pPr>
      <w:spacing w:after="0" w:line="240" w:lineRule="auto"/>
    </w:pPr>
    <w:rPr>
      <w:rFonts w:ascii="Helvetica" w:eastAsia="ヒラギノ角ゴ Pro W3" w:hAnsi="Helvetica" w:cs="Times New Roman"/>
      <w:color w:val="000000"/>
      <w:sz w:val="24"/>
      <w:szCs w:val="20"/>
      <w:lang w:val="en-US"/>
    </w:rPr>
  </w:style>
  <w:style w:type="paragraph" w:customStyle="1" w:styleId="Default">
    <w:name w:val="Default"/>
    <w:rsid w:val="001D379F"/>
    <w:pPr>
      <w:autoSpaceDE w:val="0"/>
      <w:autoSpaceDN w:val="0"/>
      <w:adjustRightInd w:val="0"/>
      <w:spacing w:after="0" w:line="240" w:lineRule="auto"/>
    </w:pPr>
    <w:rPr>
      <w:rFonts w:ascii="Cambria" w:eastAsiaTheme="minorEastAsia" w:hAnsi="Cambria" w:cs="Cambria"/>
      <w:color w:val="000000"/>
      <w:sz w:val="24"/>
      <w:szCs w:val="24"/>
      <w:lang w:val="en-US" w:eastAsia="zh-CN"/>
    </w:rPr>
  </w:style>
  <w:style w:type="paragraph" w:customStyle="1" w:styleId="Company">
    <w:name w:val="Company"/>
    <w:link w:val="CompanyChar"/>
    <w:rsid w:val="001D379F"/>
    <w:rPr>
      <w:rFonts w:ascii="Arial" w:eastAsiaTheme="minorEastAsia" w:hAnsi="Arial" w:cs="Arial"/>
      <w:b/>
      <w:sz w:val="18"/>
      <w:szCs w:val="18"/>
      <w:lang w:val="en-AU" w:eastAsia="zh-CN"/>
    </w:rPr>
  </w:style>
  <w:style w:type="character" w:customStyle="1" w:styleId="CompanyChar">
    <w:name w:val="Company Char"/>
    <w:basedOn w:val="Domylnaczcionkaakapitu"/>
    <w:link w:val="Company"/>
    <w:rsid w:val="001D379F"/>
    <w:rPr>
      <w:rFonts w:ascii="Arial" w:eastAsiaTheme="minorEastAsia" w:hAnsi="Arial" w:cs="Arial"/>
      <w:b/>
      <w:sz w:val="18"/>
      <w:szCs w:val="18"/>
      <w:lang w:val="en-AU" w:eastAsia="zh-CN"/>
    </w:rPr>
  </w:style>
  <w:style w:type="character" w:customStyle="1" w:styleId="NormalnyWebZnak">
    <w:name w:val="Normalny (Web) Znak"/>
    <w:aliases w:val=" Znak Znak Znak Znak Znak1, Znak Znak Znak Znak Znak Znak, Znak Znak4 Znak,Znak Znak Znak Znak Znak1,Znak Znak Znak Znak Znak Znak,Znak Znak4 Znak"/>
    <w:basedOn w:val="Domylnaczcionkaakapitu"/>
    <w:link w:val="NormalnyWeb"/>
    <w:uiPriority w:val="99"/>
    <w:rsid w:val="00B644D4"/>
    <w:rPr>
      <w:rFonts w:ascii="Times New Roman" w:eastAsiaTheme="minorEastAsia" w:hAnsi="Times New Roman" w:cs="Times New Roman"/>
      <w:sz w:val="24"/>
      <w:szCs w:val="24"/>
      <w:lang w:eastAsia="pl-PL"/>
    </w:rPr>
  </w:style>
  <w:style w:type="table" w:customStyle="1" w:styleId="obiekt">
    <w:name w:val="obiekt"/>
    <w:basedOn w:val="Standardowy"/>
    <w:uiPriority w:val="99"/>
    <w:rsid w:val="00F70B5F"/>
    <w:pPr>
      <w:spacing w:before="120" w:after="120" w:line="240" w:lineRule="auto"/>
      <w:ind w:left="714" w:hanging="357"/>
      <w:jc w:val="center"/>
    </w:pPr>
    <w:tblPr>
      <w:tblInd w:w="0" w:type="dxa"/>
      <w:tblCellMar>
        <w:top w:w="0" w:type="dxa"/>
        <w:left w:w="108" w:type="dxa"/>
        <w:bottom w:w="0" w:type="dxa"/>
        <w:right w:w="108" w:type="dxa"/>
      </w:tblCellMar>
    </w:tblPr>
    <w:tcPr>
      <w:vAlign w:val="center"/>
    </w:tcPr>
  </w:style>
  <w:style w:type="table" w:styleId="Jasnalistaakcent5">
    <w:name w:val="Light List Accent 5"/>
    <w:basedOn w:val="Standardowy"/>
    <w:uiPriority w:val="61"/>
    <w:rsid w:val="000E06F8"/>
    <w:pPr>
      <w:spacing w:after="0" w:line="240" w:lineRule="auto"/>
    </w:pPr>
    <w:tblPr>
      <w:tblStyleRowBandSize w:val="1"/>
      <w:tblStyleColBandSize w:val="1"/>
      <w:tblInd w:w="0" w:type="dxa"/>
      <w:tblBorders>
        <w:top w:val="single" w:sz="8" w:space="0" w:color="1F6F29" w:themeColor="accent5"/>
        <w:left w:val="single" w:sz="8" w:space="0" w:color="1F6F29" w:themeColor="accent5"/>
        <w:bottom w:val="single" w:sz="8" w:space="0" w:color="1F6F29" w:themeColor="accent5"/>
        <w:right w:val="single" w:sz="8" w:space="0" w:color="1F6F29" w:themeColor="accent5"/>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shd w:val="clear" w:color="auto" w:fill="1F6F29" w:themeFill="accent5"/>
      </w:tcPr>
    </w:tblStylePr>
    <w:tblStylePr w:type="lastRow">
      <w:pPr>
        <w:spacing w:beforeLines="0" w:beforeAutospacing="0" w:afterLines="0" w:afterAutospacing="0" w:line="240" w:lineRule="auto"/>
      </w:pPr>
      <w:rPr>
        <w:b/>
        <w:bCs/>
      </w:rPr>
      <w:tblPr/>
      <w:tcPr>
        <w:tcBorders>
          <w:top w:val="double" w:sz="6" w:space="0" w:color="1F6F29" w:themeColor="accent5"/>
          <w:left w:val="single" w:sz="8" w:space="0" w:color="1F6F29" w:themeColor="accent5"/>
          <w:bottom w:val="single" w:sz="8" w:space="0" w:color="1F6F29" w:themeColor="accent5"/>
          <w:right w:val="single" w:sz="8" w:space="0" w:color="1F6F29" w:themeColor="accent5"/>
        </w:tcBorders>
      </w:tcPr>
    </w:tblStylePr>
    <w:tblStylePr w:type="firstCol">
      <w:rPr>
        <w:b/>
        <w:bCs/>
      </w:rPr>
    </w:tblStylePr>
    <w:tblStylePr w:type="lastCol">
      <w:rPr>
        <w:b/>
        <w:bCs/>
      </w:rPr>
    </w:tblStylePr>
    <w:tblStylePr w:type="band1Vert">
      <w:tblPr/>
      <w:tcPr>
        <w:tcBorders>
          <w:top w:val="single" w:sz="8" w:space="0" w:color="1F6F29" w:themeColor="accent5"/>
          <w:left w:val="single" w:sz="8" w:space="0" w:color="1F6F29" w:themeColor="accent5"/>
          <w:bottom w:val="single" w:sz="8" w:space="0" w:color="1F6F29" w:themeColor="accent5"/>
          <w:right w:val="single" w:sz="8" w:space="0" w:color="1F6F29" w:themeColor="accent5"/>
        </w:tcBorders>
      </w:tcPr>
    </w:tblStylePr>
    <w:tblStylePr w:type="band1Horz">
      <w:tblPr/>
      <w:tcPr>
        <w:tcBorders>
          <w:top w:val="single" w:sz="8" w:space="0" w:color="1F6F29" w:themeColor="accent5"/>
          <w:left w:val="single" w:sz="8" w:space="0" w:color="1F6F29" w:themeColor="accent5"/>
          <w:bottom w:val="single" w:sz="8" w:space="0" w:color="1F6F29" w:themeColor="accent5"/>
          <w:right w:val="single" w:sz="8" w:space="0" w:color="1F6F29" w:themeColor="accent5"/>
        </w:tcBorders>
      </w:tcPr>
    </w:tblStylePr>
  </w:style>
  <w:style w:type="table" w:customStyle="1" w:styleId="Jasnalista1">
    <w:name w:val="Jasna lista1"/>
    <w:basedOn w:val="Standardowy"/>
    <w:uiPriority w:val="61"/>
    <w:rsid w:val="00C74FAF"/>
    <w:pPr>
      <w:spacing w:after="0" w:line="240" w:lineRule="auto"/>
    </w:pPr>
    <w:tblPr>
      <w:tblStyleRowBandSize w:val="1"/>
      <w:tblStyleColBandSize w:val="1"/>
      <w:tblInd w:w="0" w:type="dxa"/>
      <w:tblBorders>
        <w:top w:val="single" w:sz="8" w:space="0" w:color="1F497D" w:themeColor="text1"/>
        <w:left w:val="single" w:sz="8" w:space="0" w:color="1F497D" w:themeColor="text1"/>
        <w:bottom w:val="single" w:sz="8" w:space="0" w:color="1F497D" w:themeColor="text1"/>
        <w:right w:val="single" w:sz="8" w:space="0" w:color="1F497D"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1F497D" w:themeFill="text1"/>
      </w:tcPr>
    </w:tblStylePr>
    <w:tblStylePr w:type="lastRow">
      <w:pPr>
        <w:spacing w:before="0" w:after="0" w:line="240" w:lineRule="auto"/>
      </w:pPr>
      <w:rPr>
        <w:b/>
        <w:bCs/>
      </w:rPr>
      <w:tblPr/>
      <w:tcPr>
        <w:tcBorders>
          <w:top w:val="double" w:sz="6" w:space="0" w:color="1F497D" w:themeColor="text1"/>
          <w:left w:val="single" w:sz="8" w:space="0" w:color="1F497D" w:themeColor="text1"/>
          <w:bottom w:val="single" w:sz="8" w:space="0" w:color="1F497D" w:themeColor="text1"/>
          <w:right w:val="single" w:sz="8" w:space="0" w:color="1F497D" w:themeColor="text1"/>
        </w:tcBorders>
      </w:tcPr>
    </w:tblStylePr>
    <w:tblStylePr w:type="firstCol">
      <w:rPr>
        <w:b/>
        <w:bCs/>
      </w:rPr>
    </w:tblStylePr>
    <w:tblStylePr w:type="lastCol">
      <w:rPr>
        <w:b/>
        <w:bCs/>
      </w:rPr>
    </w:tblStylePr>
    <w:tblStylePr w:type="band1Vert">
      <w:tblPr/>
      <w:tcPr>
        <w:tcBorders>
          <w:top w:val="single" w:sz="8" w:space="0" w:color="1F497D" w:themeColor="text1"/>
          <w:left w:val="single" w:sz="8" w:space="0" w:color="1F497D" w:themeColor="text1"/>
          <w:bottom w:val="single" w:sz="8" w:space="0" w:color="1F497D" w:themeColor="text1"/>
          <w:right w:val="single" w:sz="8" w:space="0" w:color="1F497D" w:themeColor="text1"/>
        </w:tcBorders>
      </w:tcPr>
    </w:tblStylePr>
    <w:tblStylePr w:type="band1Horz">
      <w:tblPr/>
      <w:tcPr>
        <w:tcBorders>
          <w:top w:val="single" w:sz="8" w:space="0" w:color="1F497D" w:themeColor="text1"/>
          <w:left w:val="single" w:sz="8" w:space="0" w:color="1F497D" w:themeColor="text1"/>
          <w:bottom w:val="single" w:sz="8" w:space="0" w:color="1F497D" w:themeColor="text1"/>
          <w:right w:val="single" w:sz="8" w:space="0" w:color="1F497D" w:themeColor="text1"/>
        </w:tcBorders>
      </w:tcPr>
    </w:tblStylePr>
  </w:style>
  <w:style w:type="table" w:customStyle="1" w:styleId="Jasnalista10">
    <w:name w:val="Jasna lista1"/>
    <w:basedOn w:val="Standardowy"/>
    <w:uiPriority w:val="61"/>
    <w:rsid w:val="009348FF"/>
    <w:pPr>
      <w:spacing w:after="0" w:line="240" w:lineRule="auto"/>
    </w:pPr>
    <w:tblPr>
      <w:tblStyleRowBandSize w:val="1"/>
      <w:tblStyleColBandSize w:val="1"/>
      <w:tblInd w:w="0" w:type="dxa"/>
      <w:tblBorders>
        <w:top w:val="single" w:sz="8" w:space="0" w:color="1F497D" w:themeColor="text1"/>
        <w:left w:val="single" w:sz="8" w:space="0" w:color="1F497D" w:themeColor="text1"/>
        <w:bottom w:val="single" w:sz="8" w:space="0" w:color="1F497D" w:themeColor="text1"/>
        <w:right w:val="single" w:sz="8" w:space="0" w:color="1F497D"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1F497D" w:themeFill="text1"/>
      </w:tcPr>
    </w:tblStylePr>
    <w:tblStylePr w:type="lastRow">
      <w:pPr>
        <w:spacing w:before="0" w:after="0" w:line="240" w:lineRule="auto"/>
      </w:pPr>
      <w:rPr>
        <w:b/>
        <w:bCs/>
      </w:rPr>
      <w:tblPr/>
      <w:tcPr>
        <w:tcBorders>
          <w:top w:val="double" w:sz="6" w:space="0" w:color="1F497D" w:themeColor="text1"/>
          <w:left w:val="single" w:sz="8" w:space="0" w:color="1F497D" w:themeColor="text1"/>
          <w:bottom w:val="single" w:sz="8" w:space="0" w:color="1F497D" w:themeColor="text1"/>
          <w:right w:val="single" w:sz="8" w:space="0" w:color="1F497D" w:themeColor="text1"/>
        </w:tcBorders>
      </w:tcPr>
    </w:tblStylePr>
    <w:tblStylePr w:type="firstCol">
      <w:rPr>
        <w:b/>
        <w:bCs/>
      </w:rPr>
    </w:tblStylePr>
    <w:tblStylePr w:type="lastCol">
      <w:rPr>
        <w:b/>
        <w:bCs/>
      </w:rPr>
    </w:tblStylePr>
    <w:tblStylePr w:type="band1Vert">
      <w:tblPr/>
      <w:tcPr>
        <w:tcBorders>
          <w:top w:val="single" w:sz="8" w:space="0" w:color="1F497D" w:themeColor="text1"/>
          <w:left w:val="single" w:sz="8" w:space="0" w:color="1F497D" w:themeColor="text1"/>
          <w:bottom w:val="single" w:sz="8" w:space="0" w:color="1F497D" w:themeColor="text1"/>
          <w:right w:val="single" w:sz="8" w:space="0" w:color="1F497D" w:themeColor="text1"/>
        </w:tcBorders>
      </w:tcPr>
    </w:tblStylePr>
    <w:tblStylePr w:type="band1Horz">
      <w:tblPr/>
      <w:tcPr>
        <w:tcBorders>
          <w:top w:val="single" w:sz="8" w:space="0" w:color="1F497D" w:themeColor="text1"/>
          <w:left w:val="single" w:sz="8" w:space="0" w:color="1F497D" w:themeColor="text1"/>
          <w:bottom w:val="single" w:sz="8" w:space="0" w:color="1F497D" w:themeColor="text1"/>
          <w:right w:val="single" w:sz="8" w:space="0" w:color="1F497D" w:themeColor="text1"/>
        </w:tcBorders>
      </w:tcPr>
    </w:tblStylePr>
  </w:style>
  <w:style w:type="character" w:customStyle="1" w:styleId="Wyrnienieintensywne1">
    <w:name w:val="Wyróżnienie intensywne1"/>
    <w:rsid w:val="00424449"/>
    <w:rPr>
      <w:rFonts w:cs="Times New Roman"/>
      <w:b/>
      <w:bCs/>
      <w:i/>
      <w:iCs/>
      <w:color w:val="4F81BD"/>
    </w:rPr>
  </w:style>
  <w:style w:type="table" w:styleId="redniecieniowanie2akcent1">
    <w:name w:val="Medium Shading 2 Accent 1"/>
    <w:basedOn w:val="Standardowy"/>
    <w:uiPriority w:val="64"/>
    <w:rsid w:val="002B679A"/>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6609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66092" w:themeFill="accent1"/>
      </w:tcPr>
    </w:tblStylePr>
    <w:tblStylePr w:type="lastCol">
      <w:rPr>
        <w:b/>
        <w:bCs/>
        <w:color w:val="FFFFFF" w:themeColor="background1"/>
      </w:rPr>
      <w:tblPr/>
      <w:tcPr>
        <w:tcBorders>
          <w:left w:val="nil"/>
          <w:right w:val="nil"/>
          <w:insideH w:val="nil"/>
          <w:insideV w:val="nil"/>
        </w:tcBorders>
        <w:shd w:val="clear" w:color="auto" w:fill="36609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Teksttreci">
    <w:name w:val="Tekst treści_"/>
    <w:basedOn w:val="Domylnaczcionkaakapitu"/>
    <w:link w:val="Teksttreci0"/>
    <w:rsid w:val="00F35DFF"/>
    <w:rPr>
      <w:rFonts w:ascii="Times New Roman" w:eastAsia="Times New Roman" w:hAnsi="Times New Roman" w:cs="Times New Roman"/>
      <w:b/>
      <w:bCs/>
      <w:sz w:val="20"/>
      <w:szCs w:val="20"/>
      <w:shd w:val="clear" w:color="auto" w:fill="FFFFFF"/>
    </w:rPr>
  </w:style>
  <w:style w:type="character" w:customStyle="1" w:styleId="Teksttreci11">
    <w:name w:val="Tekst treści (11)"/>
    <w:basedOn w:val="Domylnaczcionkaakapitu"/>
    <w:rsid w:val="00F35DFF"/>
    <w:rPr>
      <w:rFonts w:ascii="Times New Roman" w:eastAsia="Times New Roman" w:hAnsi="Times New Roman" w:cs="Times New Roman"/>
      <w:b/>
      <w:bCs/>
      <w:i/>
      <w:iCs/>
      <w:smallCaps w:val="0"/>
      <w:strike w:val="0"/>
      <w:sz w:val="20"/>
      <w:szCs w:val="20"/>
      <w:u w:val="none"/>
    </w:rPr>
  </w:style>
  <w:style w:type="character" w:customStyle="1" w:styleId="TeksttreciKursywa">
    <w:name w:val="Tekst treści + Kursywa"/>
    <w:basedOn w:val="Teksttreci"/>
    <w:rsid w:val="00F35DFF"/>
    <w:rPr>
      <w:rFonts w:ascii="Times New Roman" w:eastAsia="Times New Roman" w:hAnsi="Times New Roman" w:cs="Times New Roman"/>
      <w:b/>
      <w:bCs/>
      <w:i/>
      <w:iCs/>
      <w:color w:val="000000"/>
      <w:spacing w:val="0"/>
      <w:w w:val="100"/>
      <w:position w:val="0"/>
      <w:sz w:val="20"/>
      <w:szCs w:val="20"/>
      <w:shd w:val="clear" w:color="auto" w:fill="FFFFFF"/>
      <w:lang w:val="pl-PL"/>
    </w:rPr>
  </w:style>
  <w:style w:type="character" w:customStyle="1" w:styleId="TeksttreciBezpogrubienia">
    <w:name w:val="Tekst treści + Bez pogrubienia"/>
    <w:basedOn w:val="Teksttreci"/>
    <w:rsid w:val="00F35DFF"/>
    <w:rPr>
      <w:rFonts w:ascii="Times New Roman" w:eastAsia="Times New Roman" w:hAnsi="Times New Roman" w:cs="Times New Roman"/>
      <w:b/>
      <w:bCs/>
      <w:color w:val="000000"/>
      <w:spacing w:val="0"/>
      <w:w w:val="100"/>
      <w:position w:val="0"/>
      <w:sz w:val="20"/>
      <w:szCs w:val="20"/>
      <w:shd w:val="clear" w:color="auto" w:fill="FFFFFF"/>
    </w:rPr>
  </w:style>
  <w:style w:type="character" w:customStyle="1" w:styleId="TeksttreciBezpogrubieniaKursywa">
    <w:name w:val="Tekst treści + Bez pogrubienia;Kursywa"/>
    <w:basedOn w:val="Teksttreci"/>
    <w:rsid w:val="00F35DFF"/>
    <w:rPr>
      <w:rFonts w:ascii="Times New Roman" w:eastAsia="Times New Roman" w:hAnsi="Times New Roman" w:cs="Times New Roman"/>
      <w:b/>
      <w:bCs/>
      <w:i/>
      <w:iCs/>
      <w:color w:val="000000"/>
      <w:spacing w:val="0"/>
      <w:w w:val="100"/>
      <w:position w:val="0"/>
      <w:sz w:val="20"/>
      <w:szCs w:val="20"/>
      <w:shd w:val="clear" w:color="auto" w:fill="FFFFFF"/>
      <w:lang w:val="pl-PL"/>
    </w:rPr>
  </w:style>
  <w:style w:type="character" w:customStyle="1" w:styleId="Teksttreci12">
    <w:name w:val="Tekst treści (12)_"/>
    <w:basedOn w:val="Domylnaczcionkaakapitu"/>
    <w:link w:val="Teksttreci120"/>
    <w:rsid w:val="00F35DFF"/>
    <w:rPr>
      <w:rFonts w:ascii="Times New Roman" w:eastAsia="Times New Roman" w:hAnsi="Times New Roman" w:cs="Times New Roman"/>
      <w:i/>
      <w:iCs/>
      <w:sz w:val="20"/>
      <w:szCs w:val="20"/>
      <w:shd w:val="clear" w:color="auto" w:fill="FFFFFF"/>
    </w:rPr>
  </w:style>
  <w:style w:type="character" w:customStyle="1" w:styleId="Teksttreci12PogrubienieBezkursywy">
    <w:name w:val="Tekst treści (12) + Pogrubienie;Bez kursywy"/>
    <w:basedOn w:val="Teksttreci12"/>
    <w:rsid w:val="00F35DFF"/>
    <w:rPr>
      <w:rFonts w:ascii="Times New Roman" w:eastAsia="Times New Roman" w:hAnsi="Times New Roman" w:cs="Times New Roman"/>
      <w:b/>
      <w:bCs/>
      <w:i/>
      <w:iCs/>
      <w:color w:val="000000"/>
      <w:spacing w:val="0"/>
      <w:w w:val="100"/>
      <w:position w:val="0"/>
      <w:sz w:val="20"/>
      <w:szCs w:val="20"/>
      <w:shd w:val="clear" w:color="auto" w:fill="FFFFFF"/>
      <w:lang w:val="pl-PL"/>
    </w:rPr>
  </w:style>
  <w:style w:type="paragraph" w:customStyle="1" w:styleId="Teksttreci0">
    <w:name w:val="Tekst treści"/>
    <w:basedOn w:val="Normalny"/>
    <w:link w:val="Teksttreci"/>
    <w:rsid w:val="00F35DFF"/>
    <w:pPr>
      <w:widowControl w:val="0"/>
      <w:shd w:val="clear" w:color="auto" w:fill="FFFFFF"/>
      <w:spacing w:before="420" w:after="0" w:line="316" w:lineRule="exact"/>
      <w:ind w:hanging="600"/>
      <w:jc w:val="left"/>
    </w:pPr>
    <w:rPr>
      <w:rFonts w:ascii="Times New Roman" w:eastAsia="Times New Roman" w:hAnsi="Times New Roman" w:cs="Times New Roman"/>
      <w:b/>
      <w:bCs/>
      <w:sz w:val="20"/>
      <w:szCs w:val="20"/>
    </w:rPr>
  </w:style>
  <w:style w:type="paragraph" w:customStyle="1" w:styleId="Teksttreci120">
    <w:name w:val="Tekst treści (12)"/>
    <w:basedOn w:val="Normalny"/>
    <w:link w:val="Teksttreci12"/>
    <w:rsid w:val="00F35DFF"/>
    <w:pPr>
      <w:widowControl w:val="0"/>
      <w:shd w:val="clear" w:color="auto" w:fill="FFFFFF"/>
      <w:spacing w:before="240" w:after="240" w:line="288" w:lineRule="exact"/>
      <w:ind w:firstLine="680"/>
    </w:pPr>
    <w:rPr>
      <w:rFonts w:ascii="Times New Roman" w:eastAsia="Times New Roman" w:hAnsi="Times New Roman" w:cs="Times New Roman"/>
      <w:i/>
      <w:iCs/>
      <w:sz w:val="20"/>
      <w:szCs w:val="20"/>
    </w:rPr>
  </w:style>
  <w:style w:type="paragraph" w:customStyle="1" w:styleId="ListParagraph1">
    <w:name w:val="List Paragraph1"/>
    <w:aliases w:val="A_wyliczenie"/>
    <w:basedOn w:val="Normalny"/>
    <w:link w:val="ListParagraphChar"/>
    <w:rsid w:val="00264C5B"/>
    <w:pPr>
      <w:ind w:left="720"/>
      <w:contextualSpacing/>
      <w:jc w:val="left"/>
    </w:pPr>
    <w:rPr>
      <w:rFonts w:ascii="Calibri" w:eastAsia="Times New Roman" w:hAnsi="Calibri" w:cs="Times New Roman"/>
    </w:rPr>
  </w:style>
  <w:style w:type="character" w:customStyle="1" w:styleId="ListParagraphChar">
    <w:name w:val="List Paragraph Char"/>
    <w:aliases w:val="A_wyliczenie Char"/>
    <w:link w:val="ListParagraph1"/>
    <w:locked/>
    <w:rsid w:val="00264C5B"/>
    <w:rPr>
      <w:rFonts w:ascii="Calibri" w:eastAsia="Times New Roman" w:hAnsi="Calibri" w:cs="Times New Roman"/>
    </w:rPr>
  </w:style>
  <w:style w:type="paragraph" w:customStyle="1" w:styleId="WW-NormalnyWeb">
    <w:name w:val="WW-Normalny (Web)"/>
    <w:basedOn w:val="Normalny"/>
    <w:rsid w:val="0094273C"/>
    <w:pPr>
      <w:suppressAutoHyphens/>
      <w:overflowPunct w:val="0"/>
      <w:autoSpaceDE w:val="0"/>
      <w:autoSpaceDN w:val="0"/>
      <w:adjustRightInd w:val="0"/>
      <w:spacing w:before="100" w:after="100" w:line="240" w:lineRule="auto"/>
      <w:jc w:val="left"/>
      <w:textAlignment w:val="baseline"/>
    </w:pPr>
    <w:rPr>
      <w:rFonts w:ascii="Times New Roman" w:eastAsia="Times New Roman" w:hAnsi="Times New Roman" w:cs="Times New Roman"/>
      <w:sz w:val="24"/>
      <w:szCs w:val="20"/>
      <w:lang w:eastAsia="pl-PL"/>
    </w:rPr>
  </w:style>
  <w:style w:type="character" w:customStyle="1" w:styleId="TekstpodstawowywcityZnak">
    <w:name w:val="Tekst podstawowy wcięty Znak"/>
    <w:rsid w:val="0094273C"/>
    <w:rPr>
      <w:sz w:val="22"/>
    </w:rPr>
  </w:style>
  <w:style w:type="character" w:customStyle="1" w:styleId="Tekstpodstawowywcity2Znak">
    <w:name w:val="Tekst podstawowy wcięty 2 Znak"/>
    <w:rsid w:val="0094273C"/>
    <w:rPr>
      <w:sz w:val="22"/>
    </w:rPr>
  </w:style>
  <w:style w:type="character" w:customStyle="1" w:styleId="Tekstpodstawowywcity3Znak">
    <w:name w:val="Tekst podstawowy wcięty 3 Znak"/>
    <w:rsid w:val="0094273C"/>
    <w:rPr>
      <w:sz w:val="22"/>
    </w:rPr>
  </w:style>
  <w:style w:type="paragraph" w:customStyle="1" w:styleId="Nagwek2Paragraaf">
    <w:name w:val="Nagłówek 2.Paragraaf"/>
    <w:basedOn w:val="Normalny"/>
    <w:next w:val="Normalny"/>
    <w:rsid w:val="0094273C"/>
    <w:pPr>
      <w:keepNext/>
      <w:spacing w:after="0" w:line="240" w:lineRule="auto"/>
      <w:jc w:val="left"/>
    </w:pPr>
    <w:rPr>
      <w:rFonts w:ascii="Times New Roman" w:eastAsia="Times New Roman" w:hAnsi="Times New Roman" w:cs="Times New Roman"/>
      <w:b/>
      <w:sz w:val="24"/>
      <w:szCs w:val="20"/>
      <w:lang w:eastAsia="pl-PL"/>
    </w:rPr>
  </w:style>
  <w:style w:type="character" w:customStyle="1" w:styleId="CO">
    <w:name w:val="COŚ"/>
    <w:rsid w:val="0094273C"/>
    <w:rPr>
      <w:rFonts w:ascii="Times New Roman" w:hAnsi="Times New Roman"/>
      <w:b/>
      <w:bCs/>
      <w:sz w:val="22"/>
    </w:rPr>
  </w:style>
  <w:style w:type="paragraph" w:customStyle="1" w:styleId="Tekstpodstawowy21">
    <w:name w:val="Tekst podstawowy 21"/>
    <w:basedOn w:val="Normalny"/>
    <w:rsid w:val="0094273C"/>
    <w:pPr>
      <w:tabs>
        <w:tab w:val="left" w:pos="709"/>
      </w:tabs>
      <w:spacing w:after="0" w:line="240" w:lineRule="auto"/>
      <w:ind w:left="360" w:hanging="360"/>
    </w:pPr>
    <w:rPr>
      <w:rFonts w:ascii="Times New Roman" w:eastAsia="Times New Roman" w:hAnsi="Times New Roman" w:cs="Times New Roman"/>
      <w:b/>
      <w:sz w:val="32"/>
      <w:szCs w:val="20"/>
      <w:lang w:eastAsia="pl-PL"/>
    </w:rPr>
  </w:style>
  <w:style w:type="paragraph" w:customStyle="1" w:styleId="Wyliczenie3">
    <w:name w:val="Wyliczenie 3"/>
    <w:basedOn w:val="Normalny"/>
    <w:rsid w:val="0094273C"/>
    <w:pPr>
      <w:tabs>
        <w:tab w:val="left" w:pos="709"/>
      </w:tabs>
      <w:spacing w:after="0" w:line="360" w:lineRule="atLeast"/>
      <w:ind w:firstLine="851"/>
    </w:pPr>
    <w:rPr>
      <w:rFonts w:ascii="Times New Roman" w:eastAsia="Times New Roman" w:hAnsi="Times New Roman" w:cs="Times New Roman"/>
      <w:szCs w:val="20"/>
      <w:lang w:eastAsia="pl-PL"/>
    </w:rPr>
  </w:style>
  <w:style w:type="paragraph" w:customStyle="1" w:styleId="jarek">
    <w:name w:val="jarek"/>
    <w:basedOn w:val="Normalny"/>
    <w:rsid w:val="0094273C"/>
    <w:pPr>
      <w:tabs>
        <w:tab w:val="num" w:pos="360"/>
        <w:tab w:val="left" w:pos="851"/>
      </w:tabs>
      <w:spacing w:after="0" w:line="240" w:lineRule="auto"/>
      <w:ind w:left="1208" w:hanging="357"/>
    </w:pPr>
    <w:rPr>
      <w:rFonts w:ascii="Times New Roman" w:eastAsia="Times New Roman" w:hAnsi="Times New Roman" w:cs="Times New Roman"/>
      <w:lang w:eastAsia="pl-PL"/>
    </w:rPr>
  </w:style>
  <w:style w:type="paragraph" w:customStyle="1" w:styleId="jestlepiej">
    <w:name w:val="jest lepiej"/>
    <w:basedOn w:val="Tekstpodstawowy"/>
    <w:rsid w:val="0094273C"/>
    <w:pPr>
      <w:tabs>
        <w:tab w:val="left" w:pos="709"/>
      </w:tabs>
      <w:spacing w:line="240" w:lineRule="auto"/>
      <w:ind w:firstLine="709"/>
    </w:pPr>
    <w:rPr>
      <w:rFonts w:ascii="Times New Roman" w:eastAsia="Times New Roman" w:hAnsi="Times New Roman" w:cs="Times New Roman"/>
      <w:b/>
      <w:bCs/>
      <w:sz w:val="24"/>
    </w:rPr>
  </w:style>
  <w:style w:type="character" w:customStyle="1" w:styleId="Tekstpodstawowy2Znak">
    <w:name w:val="Tekst podstawowy 2 Znak"/>
    <w:rsid w:val="0094273C"/>
    <w:rPr>
      <w:color w:val="0000FF"/>
      <w:sz w:val="24"/>
    </w:rPr>
  </w:style>
  <w:style w:type="character" w:customStyle="1" w:styleId="Tekstpodstawowy3Znak">
    <w:name w:val="Tekst podstawowy 3 Znak"/>
    <w:rsid w:val="0094273C"/>
    <w:rPr>
      <w:color w:val="0000FF"/>
      <w:sz w:val="22"/>
    </w:rPr>
  </w:style>
  <w:style w:type="paragraph" w:customStyle="1" w:styleId="Tekstpodstawowywciety">
    <w:name w:val="Tekst podstawowy wciety"/>
    <w:basedOn w:val="Normalny"/>
    <w:rsid w:val="0094273C"/>
    <w:pPr>
      <w:tabs>
        <w:tab w:val="left" w:pos="720"/>
      </w:tabs>
      <w:suppressAutoHyphens/>
      <w:overflowPunct w:val="0"/>
      <w:autoSpaceDE w:val="0"/>
      <w:autoSpaceDN w:val="0"/>
      <w:adjustRightInd w:val="0"/>
      <w:spacing w:after="0" w:line="240" w:lineRule="auto"/>
      <w:ind w:left="720" w:hanging="720"/>
      <w:textAlignment w:val="baseline"/>
    </w:pPr>
    <w:rPr>
      <w:rFonts w:ascii="Times New Roman" w:eastAsia="Times New Roman" w:hAnsi="Times New Roman" w:cs="Times New Roman"/>
      <w:b/>
      <w:color w:val="FF0000"/>
      <w:sz w:val="24"/>
      <w:szCs w:val="20"/>
      <w:lang w:eastAsia="pl-PL"/>
    </w:rPr>
  </w:style>
  <w:style w:type="paragraph" w:customStyle="1" w:styleId="aTabelatre">
    <w:name w:val="a_Tabela_tre?"/>
    <w:basedOn w:val="Normalny"/>
    <w:rsid w:val="0094273C"/>
    <w:pPr>
      <w:suppressAutoHyphens/>
      <w:overflowPunct w:val="0"/>
      <w:autoSpaceDE w:val="0"/>
      <w:autoSpaceDN w:val="0"/>
      <w:adjustRightInd w:val="0"/>
      <w:spacing w:after="0" w:line="280" w:lineRule="atLeast"/>
      <w:textAlignment w:val="baseline"/>
    </w:pPr>
    <w:rPr>
      <w:rFonts w:ascii="Times New Roman" w:eastAsia="Times New Roman" w:hAnsi="Times New Roman" w:cs="Times New Roman"/>
      <w:sz w:val="20"/>
      <w:szCs w:val="20"/>
      <w:lang w:eastAsia="pl-PL"/>
    </w:rPr>
  </w:style>
  <w:style w:type="paragraph" w:customStyle="1" w:styleId="NumPar1">
    <w:name w:val="NumPar 1"/>
    <w:basedOn w:val="Normalny"/>
    <w:next w:val="Normalny"/>
    <w:rsid w:val="0094273C"/>
    <w:pPr>
      <w:tabs>
        <w:tab w:val="num" w:pos="1260"/>
      </w:tabs>
      <w:spacing w:before="120" w:after="120" w:line="240" w:lineRule="auto"/>
      <w:ind w:left="1260" w:hanging="360"/>
    </w:pPr>
    <w:rPr>
      <w:rFonts w:ascii="Times New Roman" w:eastAsia="Times New Roman" w:hAnsi="Times New Roman" w:cs="Times New Roman"/>
      <w:sz w:val="24"/>
      <w:szCs w:val="20"/>
      <w:lang w:val="en-GB" w:eastAsia="en-GB"/>
    </w:rPr>
  </w:style>
  <w:style w:type="character" w:customStyle="1" w:styleId="ZnakZnakZnak">
    <w:name w:val="Znak Znak Znak"/>
    <w:rsid w:val="0094273C"/>
    <w:rPr>
      <w:sz w:val="24"/>
      <w:lang w:val="pl-PL" w:eastAsia="pl-PL" w:bidi="ar-SA"/>
    </w:rPr>
  </w:style>
  <w:style w:type="paragraph" w:customStyle="1" w:styleId="standard">
    <w:name w:val="standard"/>
    <w:basedOn w:val="Normalny"/>
    <w:rsid w:val="0094273C"/>
    <w:pPr>
      <w:tabs>
        <w:tab w:val="left" w:pos="567"/>
      </w:tabs>
      <w:spacing w:after="0" w:line="240" w:lineRule="auto"/>
    </w:pPr>
    <w:rPr>
      <w:rFonts w:ascii="Arial" w:eastAsia="Times New Roman" w:hAnsi="Arial" w:cs="Times New Roman"/>
      <w:szCs w:val="20"/>
      <w:lang w:eastAsia="pl-PL"/>
    </w:rPr>
  </w:style>
  <w:style w:type="paragraph" w:styleId="Tekstpodstawowywcity">
    <w:name w:val="Body Text Indent"/>
    <w:basedOn w:val="Normalny"/>
    <w:link w:val="TekstpodstawowywcityZnak1"/>
    <w:rsid w:val="0094273C"/>
    <w:pPr>
      <w:spacing w:after="0" w:line="360" w:lineRule="auto"/>
      <w:ind w:firstLine="709"/>
      <w:jc w:val="left"/>
    </w:pPr>
    <w:rPr>
      <w:rFonts w:ascii="Times New Roman" w:eastAsia="Times New Roman" w:hAnsi="Times New Roman" w:cs="Times New Roman"/>
      <w:szCs w:val="20"/>
    </w:rPr>
  </w:style>
  <w:style w:type="character" w:customStyle="1" w:styleId="TekstpodstawowywcityZnak1">
    <w:name w:val="Tekst podstawowy wcięty Znak1"/>
    <w:basedOn w:val="Domylnaczcionkaakapitu"/>
    <w:link w:val="Tekstpodstawowywcity"/>
    <w:rsid w:val="0094273C"/>
    <w:rPr>
      <w:rFonts w:ascii="Times New Roman" w:eastAsia="Times New Roman" w:hAnsi="Times New Roman" w:cs="Times New Roman"/>
      <w:szCs w:val="20"/>
    </w:rPr>
  </w:style>
  <w:style w:type="character" w:customStyle="1" w:styleId="TytuZnak1">
    <w:name w:val="Tytuł Znak1"/>
    <w:rsid w:val="0094273C"/>
    <w:rPr>
      <w:rFonts w:eastAsia="Times New Roman"/>
      <w:b/>
      <w:bCs/>
      <w:sz w:val="22"/>
      <w:szCs w:val="22"/>
    </w:rPr>
  </w:style>
  <w:style w:type="character" w:customStyle="1" w:styleId="StopkaZnak1">
    <w:name w:val="Stopka Znak1"/>
    <w:semiHidden/>
    <w:rsid w:val="0094273C"/>
    <w:rPr>
      <w:rFonts w:eastAsia="Times New Roman"/>
      <w:effect w:val="none"/>
    </w:rPr>
  </w:style>
  <w:style w:type="character" w:customStyle="1" w:styleId="NagwekZnak1">
    <w:name w:val="Nagłówek Znak1"/>
    <w:semiHidden/>
    <w:rsid w:val="0094273C"/>
    <w:rPr>
      <w:rFonts w:eastAsia="Times New Roman"/>
      <w:effect w:val="none"/>
    </w:rPr>
  </w:style>
  <w:style w:type="paragraph" w:styleId="Tekstpodstawowywcity2">
    <w:name w:val="Body Text Indent 2"/>
    <w:basedOn w:val="Normalny"/>
    <w:link w:val="Tekstpodstawowywcity2Znak1"/>
    <w:rsid w:val="0094273C"/>
    <w:pPr>
      <w:spacing w:after="0" w:line="240" w:lineRule="auto"/>
      <w:ind w:firstLine="360"/>
      <w:jc w:val="left"/>
    </w:pPr>
    <w:rPr>
      <w:rFonts w:ascii="Times New Roman" w:eastAsia="Times New Roman" w:hAnsi="Times New Roman" w:cs="Times New Roman"/>
      <w:szCs w:val="20"/>
    </w:rPr>
  </w:style>
  <w:style w:type="character" w:customStyle="1" w:styleId="Tekstpodstawowywcity2Znak1">
    <w:name w:val="Tekst podstawowy wcięty 2 Znak1"/>
    <w:basedOn w:val="Domylnaczcionkaakapitu"/>
    <w:link w:val="Tekstpodstawowywcity2"/>
    <w:rsid w:val="0094273C"/>
    <w:rPr>
      <w:rFonts w:ascii="Times New Roman" w:eastAsia="Times New Roman" w:hAnsi="Times New Roman" w:cs="Times New Roman"/>
      <w:szCs w:val="20"/>
    </w:rPr>
  </w:style>
  <w:style w:type="paragraph" w:styleId="Tekstpodstawowywcity3">
    <w:name w:val="Body Text Indent 3"/>
    <w:basedOn w:val="Normalny"/>
    <w:link w:val="Tekstpodstawowywcity3Znak1"/>
    <w:rsid w:val="0094273C"/>
    <w:pPr>
      <w:spacing w:after="0" w:line="360" w:lineRule="auto"/>
      <w:ind w:firstLine="708"/>
    </w:pPr>
    <w:rPr>
      <w:rFonts w:ascii="Times New Roman" w:eastAsia="Times New Roman" w:hAnsi="Times New Roman" w:cs="Times New Roman"/>
    </w:rPr>
  </w:style>
  <w:style w:type="character" w:customStyle="1" w:styleId="Tekstpodstawowywcity3Znak1">
    <w:name w:val="Tekst podstawowy wcięty 3 Znak1"/>
    <w:basedOn w:val="Domylnaczcionkaakapitu"/>
    <w:link w:val="Tekstpodstawowywcity3"/>
    <w:rsid w:val="0094273C"/>
    <w:rPr>
      <w:rFonts w:ascii="Times New Roman" w:eastAsia="Times New Roman" w:hAnsi="Times New Roman" w:cs="Times New Roman"/>
    </w:rPr>
  </w:style>
  <w:style w:type="paragraph" w:customStyle="1" w:styleId="StandardowyNormalny-gosia">
    <w:name w:val="Standardowy.Normalny-gosia"/>
    <w:rsid w:val="0094273C"/>
    <w:pPr>
      <w:tabs>
        <w:tab w:val="left" w:pos="709"/>
      </w:tabs>
      <w:spacing w:after="0" w:line="240" w:lineRule="auto"/>
      <w:ind w:firstLine="709"/>
      <w:jc w:val="both"/>
    </w:pPr>
    <w:rPr>
      <w:rFonts w:ascii="Times New Roman" w:eastAsia="Times New Roman" w:hAnsi="Times New Roman" w:cs="Times New Roman"/>
      <w:szCs w:val="20"/>
      <w:lang w:eastAsia="pl-PL"/>
    </w:rPr>
  </w:style>
  <w:style w:type="paragraph" w:customStyle="1" w:styleId="darek">
    <w:name w:val="darek"/>
    <w:basedOn w:val="Normalny"/>
    <w:rsid w:val="0094273C"/>
    <w:pPr>
      <w:overflowPunct w:val="0"/>
      <w:autoSpaceDE w:val="0"/>
      <w:autoSpaceDN w:val="0"/>
      <w:adjustRightInd w:val="0"/>
      <w:spacing w:after="0" w:line="360" w:lineRule="auto"/>
      <w:ind w:firstLine="709"/>
      <w:textAlignment w:val="baseline"/>
    </w:pPr>
    <w:rPr>
      <w:rFonts w:ascii="Times New Roman" w:eastAsia="Times New Roman" w:hAnsi="Times New Roman" w:cs="Times New Roman"/>
      <w:sz w:val="24"/>
      <w:szCs w:val="20"/>
      <w:lang w:eastAsia="pl-PL"/>
    </w:rPr>
  </w:style>
  <w:style w:type="character" w:customStyle="1" w:styleId="Nagwek2Znak1">
    <w:name w:val="Nagłówek 2 Znak1"/>
    <w:rsid w:val="0094273C"/>
    <w:rPr>
      <w:rFonts w:ascii="Arial" w:hAnsi="Arial" w:cs="Arial"/>
      <w:b/>
      <w:bCs/>
      <w:i/>
      <w:iCs/>
      <w:sz w:val="28"/>
      <w:szCs w:val="28"/>
    </w:rPr>
  </w:style>
  <w:style w:type="paragraph" w:customStyle="1" w:styleId="Tabelka">
    <w:name w:val="Tabelka"/>
    <w:basedOn w:val="Normalny"/>
    <w:rsid w:val="0094273C"/>
    <w:pPr>
      <w:tabs>
        <w:tab w:val="num" w:pos="360"/>
      </w:tabs>
      <w:spacing w:after="0" w:line="240" w:lineRule="auto"/>
      <w:ind w:left="360"/>
      <w:jc w:val="center"/>
    </w:pPr>
    <w:rPr>
      <w:rFonts w:ascii="Times New Roman" w:eastAsia="Times New Roman" w:hAnsi="Times New Roman" w:cs="Times New Roman"/>
      <w:bCs/>
      <w:szCs w:val="20"/>
      <w:lang w:eastAsia="pl-PL"/>
    </w:rPr>
  </w:style>
  <w:style w:type="paragraph" w:customStyle="1" w:styleId="Wypunktowanie">
    <w:name w:val="Wypunktowanie"/>
    <w:basedOn w:val="Normalny"/>
    <w:autoRedefine/>
    <w:rsid w:val="0094273C"/>
    <w:pPr>
      <w:autoSpaceDE w:val="0"/>
      <w:autoSpaceDN w:val="0"/>
      <w:adjustRightInd w:val="0"/>
      <w:spacing w:after="0" w:line="240" w:lineRule="auto"/>
      <w:jc w:val="left"/>
    </w:pPr>
    <w:rPr>
      <w:rFonts w:ascii="Times New Roman" w:eastAsia="Times New Roman" w:hAnsi="Times New Roman" w:cs="Times New Roman"/>
      <w:bCs/>
      <w:sz w:val="16"/>
      <w:szCs w:val="16"/>
      <w:lang w:eastAsia="pl-PL"/>
    </w:rPr>
  </w:style>
  <w:style w:type="paragraph" w:styleId="Tekstpodstawowy2">
    <w:name w:val="Body Text 2"/>
    <w:basedOn w:val="Normalny"/>
    <w:link w:val="Tekstpodstawowy2Znak1"/>
    <w:rsid w:val="0094273C"/>
    <w:pPr>
      <w:tabs>
        <w:tab w:val="left" w:pos="709"/>
      </w:tabs>
      <w:spacing w:after="0" w:line="360" w:lineRule="auto"/>
      <w:jc w:val="left"/>
    </w:pPr>
    <w:rPr>
      <w:rFonts w:ascii="Times New Roman" w:eastAsia="Times New Roman" w:hAnsi="Times New Roman" w:cs="Times New Roman"/>
      <w:color w:val="0000FF"/>
      <w:sz w:val="24"/>
      <w:szCs w:val="20"/>
    </w:rPr>
  </w:style>
  <w:style w:type="character" w:customStyle="1" w:styleId="Tekstpodstawowy2Znak1">
    <w:name w:val="Tekst podstawowy 2 Znak1"/>
    <w:basedOn w:val="Domylnaczcionkaakapitu"/>
    <w:link w:val="Tekstpodstawowy2"/>
    <w:rsid w:val="0094273C"/>
    <w:rPr>
      <w:rFonts w:ascii="Times New Roman" w:eastAsia="Times New Roman" w:hAnsi="Times New Roman" w:cs="Times New Roman"/>
      <w:color w:val="0000FF"/>
      <w:sz w:val="24"/>
      <w:szCs w:val="20"/>
    </w:rPr>
  </w:style>
  <w:style w:type="paragraph" w:styleId="Tekstpodstawowy3">
    <w:name w:val="Body Text 3"/>
    <w:basedOn w:val="Normalny"/>
    <w:link w:val="Tekstpodstawowy3Znak1"/>
    <w:rsid w:val="0094273C"/>
    <w:pPr>
      <w:spacing w:after="0" w:line="360" w:lineRule="auto"/>
    </w:pPr>
    <w:rPr>
      <w:rFonts w:ascii="Times New Roman" w:eastAsia="Times New Roman" w:hAnsi="Times New Roman" w:cs="Times New Roman"/>
      <w:sz w:val="24"/>
      <w:szCs w:val="20"/>
    </w:rPr>
  </w:style>
  <w:style w:type="character" w:customStyle="1" w:styleId="Tekstpodstawowy3Znak1">
    <w:name w:val="Tekst podstawowy 3 Znak1"/>
    <w:basedOn w:val="Domylnaczcionkaakapitu"/>
    <w:link w:val="Tekstpodstawowy3"/>
    <w:rsid w:val="0094273C"/>
    <w:rPr>
      <w:rFonts w:ascii="Times New Roman" w:eastAsia="Times New Roman" w:hAnsi="Times New Roman" w:cs="Times New Roman"/>
      <w:sz w:val="24"/>
      <w:szCs w:val="20"/>
    </w:rPr>
  </w:style>
  <w:style w:type="paragraph" w:customStyle="1" w:styleId="jablonna">
    <w:name w:val="jablonna"/>
    <w:basedOn w:val="Normalny"/>
    <w:rsid w:val="0094273C"/>
    <w:pPr>
      <w:spacing w:after="0" w:line="240" w:lineRule="auto"/>
    </w:pPr>
    <w:rPr>
      <w:rFonts w:ascii="Times New Roman" w:eastAsia="Times New Roman" w:hAnsi="Times New Roman" w:cs="Times New Roman"/>
      <w:szCs w:val="20"/>
      <w:lang w:eastAsia="pl-PL"/>
    </w:rPr>
  </w:style>
  <w:style w:type="paragraph" w:customStyle="1" w:styleId="CM5">
    <w:name w:val="CM5"/>
    <w:basedOn w:val="Normalny"/>
    <w:next w:val="Normalny"/>
    <w:rsid w:val="0094273C"/>
    <w:pPr>
      <w:widowControl w:val="0"/>
      <w:autoSpaceDE w:val="0"/>
      <w:autoSpaceDN w:val="0"/>
      <w:adjustRightInd w:val="0"/>
      <w:spacing w:after="178" w:line="240" w:lineRule="auto"/>
      <w:jc w:val="left"/>
    </w:pPr>
    <w:rPr>
      <w:rFonts w:ascii="Arial" w:eastAsia="Times New Roman" w:hAnsi="Arial" w:cs="Arial"/>
      <w:sz w:val="24"/>
      <w:szCs w:val="24"/>
      <w:lang w:eastAsia="pl-PL"/>
    </w:rPr>
  </w:style>
  <w:style w:type="paragraph" w:customStyle="1" w:styleId="CM2">
    <w:name w:val="CM2"/>
    <w:basedOn w:val="Default"/>
    <w:next w:val="Default"/>
    <w:rsid w:val="0094273C"/>
    <w:pPr>
      <w:widowControl w:val="0"/>
      <w:spacing w:line="271" w:lineRule="atLeast"/>
    </w:pPr>
    <w:rPr>
      <w:rFonts w:ascii="Arial" w:eastAsia="Times New Roman" w:hAnsi="Arial" w:cs="Arial"/>
      <w:color w:val="auto"/>
      <w:lang w:val="pl-PL" w:eastAsia="pl-PL"/>
    </w:rPr>
  </w:style>
  <w:style w:type="paragraph" w:customStyle="1" w:styleId="Zawartotabeli">
    <w:name w:val="Zawartość tabeli"/>
    <w:basedOn w:val="Tekstpodstawowy"/>
    <w:rsid w:val="0094273C"/>
    <w:pPr>
      <w:widowControl w:val="0"/>
      <w:suppressLineNumbers/>
      <w:suppressAutoHyphens/>
      <w:spacing w:after="0" w:line="240" w:lineRule="auto"/>
      <w:jc w:val="left"/>
    </w:pPr>
    <w:rPr>
      <w:rFonts w:ascii="Arial" w:eastAsia="Tahoma" w:hAnsi="Arial" w:cs="Times New Roman"/>
      <w:sz w:val="24"/>
      <w:szCs w:val="24"/>
    </w:rPr>
  </w:style>
  <w:style w:type="paragraph" w:customStyle="1" w:styleId="Tekstpodstawowywcity21">
    <w:name w:val="Tekst podstawowy wcięty 21"/>
    <w:basedOn w:val="Normalny"/>
    <w:rsid w:val="0094273C"/>
    <w:pPr>
      <w:tabs>
        <w:tab w:val="left" w:pos="709"/>
      </w:tabs>
      <w:suppressAutoHyphens/>
      <w:spacing w:after="120" w:line="480" w:lineRule="auto"/>
      <w:ind w:left="283" w:firstLine="709"/>
    </w:pPr>
    <w:rPr>
      <w:rFonts w:ascii="Times New Roman" w:eastAsia="Times New Roman" w:hAnsi="Times New Roman" w:cs="Times New Roman"/>
      <w:lang w:eastAsia="ar-SA"/>
    </w:rPr>
  </w:style>
  <w:style w:type="paragraph" w:styleId="Lista">
    <w:name w:val="List"/>
    <w:basedOn w:val="Normalny"/>
    <w:rsid w:val="0094273C"/>
    <w:pPr>
      <w:spacing w:after="0" w:line="240" w:lineRule="auto"/>
      <w:ind w:left="283" w:hanging="283"/>
      <w:jc w:val="left"/>
    </w:pPr>
    <w:rPr>
      <w:rFonts w:ascii="Times New Roman" w:eastAsia="Times New Roman" w:hAnsi="Times New Roman" w:cs="Times New Roman"/>
      <w:sz w:val="24"/>
      <w:szCs w:val="24"/>
    </w:rPr>
  </w:style>
  <w:style w:type="paragraph" w:styleId="Lista2">
    <w:name w:val="List 2"/>
    <w:basedOn w:val="Normalny"/>
    <w:rsid w:val="0094273C"/>
    <w:pPr>
      <w:spacing w:after="0" w:line="240" w:lineRule="auto"/>
      <w:ind w:left="566" w:hanging="283"/>
      <w:jc w:val="left"/>
    </w:pPr>
    <w:rPr>
      <w:rFonts w:ascii="Times New Roman" w:eastAsia="Times New Roman" w:hAnsi="Times New Roman" w:cs="Times New Roman"/>
      <w:sz w:val="24"/>
      <w:szCs w:val="24"/>
    </w:rPr>
  </w:style>
  <w:style w:type="paragraph" w:styleId="Lista3">
    <w:name w:val="List 3"/>
    <w:basedOn w:val="Normalny"/>
    <w:rsid w:val="0094273C"/>
    <w:pPr>
      <w:spacing w:after="0" w:line="240" w:lineRule="auto"/>
      <w:ind w:left="849" w:hanging="283"/>
      <w:jc w:val="left"/>
    </w:pPr>
    <w:rPr>
      <w:rFonts w:ascii="Times New Roman" w:eastAsia="Times New Roman" w:hAnsi="Times New Roman" w:cs="Times New Roman"/>
      <w:sz w:val="24"/>
      <w:szCs w:val="24"/>
    </w:rPr>
  </w:style>
  <w:style w:type="paragraph" w:styleId="Listapunktowana3">
    <w:name w:val="List Bullet 3"/>
    <w:basedOn w:val="Normalny"/>
    <w:autoRedefine/>
    <w:rsid w:val="0094273C"/>
    <w:pPr>
      <w:numPr>
        <w:numId w:val="72"/>
      </w:numPr>
      <w:spacing w:after="0" w:line="240" w:lineRule="auto"/>
      <w:jc w:val="left"/>
    </w:pPr>
    <w:rPr>
      <w:rFonts w:ascii="Times New Roman" w:eastAsia="Times New Roman" w:hAnsi="Times New Roman" w:cs="Times New Roman"/>
      <w:sz w:val="24"/>
      <w:szCs w:val="24"/>
    </w:rPr>
  </w:style>
  <w:style w:type="paragraph" w:styleId="Listapunktowana4">
    <w:name w:val="List Bullet 4"/>
    <w:basedOn w:val="Normalny"/>
    <w:autoRedefine/>
    <w:rsid w:val="0094273C"/>
    <w:pPr>
      <w:numPr>
        <w:numId w:val="73"/>
      </w:numPr>
      <w:spacing w:after="0" w:line="240" w:lineRule="auto"/>
      <w:jc w:val="left"/>
    </w:pPr>
    <w:rPr>
      <w:rFonts w:ascii="Times New Roman" w:eastAsia="Times New Roman" w:hAnsi="Times New Roman" w:cs="Times New Roman"/>
      <w:sz w:val="24"/>
      <w:szCs w:val="24"/>
    </w:rPr>
  </w:style>
  <w:style w:type="paragraph" w:styleId="Listapunktowana5">
    <w:name w:val="List Bullet 5"/>
    <w:basedOn w:val="Normalny"/>
    <w:autoRedefine/>
    <w:rsid w:val="0094273C"/>
    <w:pPr>
      <w:numPr>
        <w:numId w:val="74"/>
      </w:numPr>
      <w:spacing w:after="0" w:line="240" w:lineRule="auto"/>
      <w:jc w:val="left"/>
    </w:pPr>
    <w:rPr>
      <w:rFonts w:ascii="Times New Roman" w:eastAsia="Times New Roman" w:hAnsi="Times New Roman" w:cs="Times New Roman"/>
      <w:sz w:val="24"/>
      <w:szCs w:val="24"/>
    </w:rPr>
  </w:style>
  <w:style w:type="paragraph" w:styleId="Lista-kontynuacja">
    <w:name w:val="List Continue"/>
    <w:basedOn w:val="Normalny"/>
    <w:rsid w:val="0094273C"/>
    <w:pPr>
      <w:spacing w:after="120" w:line="240" w:lineRule="auto"/>
      <w:ind w:left="283"/>
      <w:jc w:val="left"/>
    </w:pPr>
    <w:rPr>
      <w:rFonts w:ascii="Times New Roman" w:eastAsia="Times New Roman" w:hAnsi="Times New Roman" w:cs="Times New Roman"/>
      <w:sz w:val="24"/>
      <w:szCs w:val="24"/>
    </w:rPr>
  </w:style>
  <w:style w:type="paragraph" w:styleId="Lista-kontynuacja2">
    <w:name w:val="List Continue 2"/>
    <w:basedOn w:val="Normalny"/>
    <w:rsid w:val="0094273C"/>
    <w:pPr>
      <w:spacing w:after="120" w:line="240" w:lineRule="auto"/>
      <w:ind w:left="566"/>
      <w:jc w:val="left"/>
    </w:pPr>
    <w:rPr>
      <w:rFonts w:ascii="Times New Roman" w:eastAsia="Times New Roman" w:hAnsi="Times New Roman" w:cs="Times New Roman"/>
      <w:sz w:val="24"/>
      <w:szCs w:val="24"/>
    </w:rPr>
  </w:style>
  <w:style w:type="paragraph" w:styleId="Lista-kontynuacja3">
    <w:name w:val="List Continue 3"/>
    <w:basedOn w:val="Normalny"/>
    <w:rsid w:val="0094273C"/>
    <w:pPr>
      <w:spacing w:after="120" w:line="240" w:lineRule="auto"/>
      <w:ind w:left="849"/>
      <w:jc w:val="left"/>
    </w:pPr>
    <w:rPr>
      <w:rFonts w:ascii="Times New Roman" w:eastAsia="Times New Roman" w:hAnsi="Times New Roman" w:cs="Times New Roman"/>
      <w:sz w:val="24"/>
      <w:szCs w:val="24"/>
    </w:rPr>
  </w:style>
  <w:style w:type="table" w:styleId="Tabela-Motyw">
    <w:name w:val="Table Theme"/>
    <w:basedOn w:val="Standardowy"/>
    <w:rsid w:val="0094273C"/>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73">
    <w:name w:val="Font Style73"/>
    <w:rsid w:val="0094273C"/>
    <w:rPr>
      <w:rFonts w:ascii="Times New Roman" w:hAnsi="Times New Roman" w:cs="Times New Roman"/>
      <w:b/>
      <w:bCs/>
      <w:sz w:val="18"/>
      <w:szCs w:val="18"/>
    </w:rPr>
  </w:style>
  <w:style w:type="paragraph" w:customStyle="1" w:styleId="pzpwp">
    <w:name w:val="pzpwp"/>
    <w:basedOn w:val="Normalny"/>
    <w:link w:val="pzpwpZnak"/>
    <w:qFormat/>
    <w:rsid w:val="0094273C"/>
    <w:pPr>
      <w:autoSpaceDE w:val="0"/>
      <w:autoSpaceDN w:val="0"/>
      <w:adjustRightInd w:val="0"/>
      <w:spacing w:after="0" w:line="240" w:lineRule="auto"/>
      <w:ind w:firstLine="851"/>
    </w:pPr>
    <w:rPr>
      <w:rFonts w:ascii="Times New Roman" w:eastAsia="Times New Roman" w:hAnsi="Times New Roman" w:cs="Times New Roman"/>
    </w:rPr>
  </w:style>
  <w:style w:type="character" w:customStyle="1" w:styleId="pzpwpZnak">
    <w:name w:val="pzpwp Znak"/>
    <w:link w:val="pzpwp"/>
    <w:rsid w:val="0094273C"/>
    <w:rPr>
      <w:rFonts w:ascii="Times New Roman" w:eastAsia="Times New Roman" w:hAnsi="Times New Roman" w:cs="Times New Roman"/>
    </w:rPr>
  </w:style>
  <w:style w:type="paragraph" w:customStyle="1" w:styleId="jaro">
    <w:name w:val="jaro"/>
    <w:basedOn w:val="Normalny"/>
    <w:link w:val="jaroZnak"/>
    <w:qFormat/>
    <w:rsid w:val="0094273C"/>
    <w:pPr>
      <w:autoSpaceDE w:val="0"/>
      <w:autoSpaceDN w:val="0"/>
      <w:spacing w:after="0" w:line="240" w:lineRule="auto"/>
      <w:ind w:firstLine="851"/>
    </w:pPr>
    <w:rPr>
      <w:rFonts w:ascii="Times New Roman" w:eastAsia="Times New Roman" w:hAnsi="Times New Roman" w:cs="Times New Roman"/>
      <w:szCs w:val="24"/>
    </w:rPr>
  </w:style>
  <w:style w:type="character" w:customStyle="1" w:styleId="jaroZnak">
    <w:name w:val="jaro Znak"/>
    <w:link w:val="jaro"/>
    <w:rsid w:val="0094273C"/>
    <w:rPr>
      <w:rFonts w:ascii="Times New Roman" w:eastAsia="Times New Roman" w:hAnsi="Times New Roman" w:cs="Times New Roman"/>
      <w:szCs w:val="24"/>
    </w:rPr>
  </w:style>
  <w:style w:type="paragraph" w:customStyle="1" w:styleId="Mapa">
    <w:name w:val="Mapa"/>
    <w:basedOn w:val="Normalny"/>
    <w:autoRedefine/>
    <w:rsid w:val="0094273C"/>
    <w:pPr>
      <w:spacing w:after="0" w:line="240" w:lineRule="auto"/>
      <w:ind w:left="-1418" w:right="-1296"/>
      <w:jc w:val="center"/>
      <w:outlineLvl w:val="0"/>
    </w:pPr>
    <w:rPr>
      <w:rFonts w:ascii="Times New Roman" w:eastAsia="Times New Roman" w:hAnsi="Times New Roman" w:cs="Times New Roman"/>
      <w:lang w:eastAsia="pl-PL"/>
    </w:rPr>
  </w:style>
  <w:style w:type="paragraph" w:customStyle="1" w:styleId="program">
    <w:name w:val="program"/>
    <w:basedOn w:val="Normalny"/>
    <w:rsid w:val="0094273C"/>
    <w:pPr>
      <w:spacing w:after="0" w:line="240" w:lineRule="auto"/>
    </w:pPr>
    <w:rPr>
      <w:rFonts w:ascii="Times New Roman" w:eastAsia="Times New Roman" w:hAnsi="Times New Roman" w:cs="Times New Roman"/>
      <w:lang w:eastAsia="pl-PL"/>
    </w:rPr>
  </w:style>
  <w:style w:type="paragraph" w:customStyle="1" w:styleId="krajow">
    <w:name w:val="krajow"/>
    <w:basedOn w:val="Normalny"/>
    <w:rsid w:val="0094273C"/>
    <w:pPr>
      <w:spacing w:after="0" w:line="240" w:lineRule="auto"/>
    </w:pPr>
    <w:rPr>
      <w:rFonts w:ascii="Times New Roman" w:eastAsia="Times New Roman" w:hAnsi="Times New Roman" w:cs="Times New Roman"/>
      <w:szCs w:val="20"/>
      <w:lang w:eastAsia="pl-PL"/>
    </w:rPr>
  </w:style>
  <w:style w:type="character" w:customStyle="1" w:styleId="h11">
    <w:name w:val="h11"/>
    <w:rsid w:val="0094273C"/>
    <w:rPr>
      <w:rFonts w:ascii="Verdana" w:hAnsi="Verdana" w:hint="default"/>
      <w:b/>
      <w:bCs/>
      <w:i w:val="0"/>
      <w:iCs w:val="0"/>
      <w:sz w:val="23"/>
      <w:szCs w:val="23"/>
    </w:rPr>
  </w:style>
  <w:style w:type="paragraph" w:customStyle="1" w:styleId="pos">
    <w:name w:val="pos"/>
    <w:basedOn w:val="Bezodstpw"/>
    <w:next w:val="Bezodstpw"/>
    <w:link w:val="posZnak"/>
    <w:qFormat/>
    <w:rsid w:val="0094273C"/>
    <w:pPr>
      <w:ind w:firstLine="708"/>
      <w:jc w:val="both"/>
    </w:pPr>
    <w:rPr>
      <w:rFonts w:ascii="Times New Roman" w:eastAsia="Times New Roman" w:hAnsi="Times New Roman" w:cs="Times New Roman"/>
    </w:rPr>
  </w:style>
  <w:style w:type="character" w:customStyle="1" w:styleId="posZnak">
    <w:name w:val="pos Znak"/>
    <w:link w:val="pos"/>
    <w:rsid w:val="0094273C"/>
    <w:rPr>
      <w:rFonts w:ascii="Times New Roman" w:eastAsia="Times New Roman" w:hAnsi="Times New Roman" w:cs="Times New Roman"/>
    </w:rPr>
  </w:style>
  <w:style w:type="paragraph" w:customStyle="1" w:styleId="Akapit">
    <w:name w:val="Akapit"/>
    <w:basedOn w:val="Normalny"/>
    <w:rsid w:val="0094273C"/>
    <w:pPr>
      <w:widowControl w:val="0"/>
      <w:spacing w:after="120" w:line="240" w:lineRule="auto"/>
    </w:pPr>
    <w:rPr>
      <w:rFonts w:ascii="Times New Roman" w:eastAsia="Times New Roman" w:hAnsi="Times New Roman" w:cs="Times New Roman"/>
      <w:sz w:val="24"/>
      <w:szCs w:val="20"/>
      <w:lang w:eastAsia="pl-PL"/>
    </w:rPr>
  </w:style>
  <w:style w:type="paragraph" w:customStyle="1" w:styleId="PPunkt11">
    <w:name w:val="P. Punkt 1.1"/>
    <w:basedOn w:val="Normalny"/>
    <w:link w:val="PPunkt11Znak"/>
    <w:rsid w:val="0094273C"/>
    <w:pPr>
      <w:numPr>
        <w:numId w:val="75"/>
      </w:numPr>
      <w:spacing w:after="0" w:line="240" w:lineRule="auto"/>
    </w:pPr>
    <w:rPr>
      <w:rFonts w:ascii="Arial" w:eastAsia="Times New Roman" w:hAnsi="Arial" w:cs="Times New Roman"/>
      <w:szCs w:val="24"/>
    </w:rPr>
  </w:style>
  <w:style w:type="character" w:customStyle="1" w:styleId="PPunkt11Znak">
    <w:name w:val="P. Punkt 1.1 Znak"/>
    <w:link w:val="PPunkt11"/>
    <w:rsid w:val="0094273C"/>
    <w:rPr>
      <w:rFonts w:ascii="Arial" w:eastAsia="Times New Roman" w:hAnsi="Arial" w:cs="Times New Roman"/>
      <w:szCs w:val="24"/>
    </w:rPr>
  </w:style>
  <w:style w:type="paragraph" w:customStyle="1" w:styleId="4">
    <w:name w:val="4"/>
    <w:basedOn w:val="Bezodstpw"/>
    <w:link w:val="4Znak"/>
    <w:qFormat/>
    <w:rsid w:val="0094273C"/>
    <w:rPr>
      <w:rFonts w:ascii="Times New Roman" w:eastAsia="Times New Roman" w:hAnsi="Times New Roman" w:cs="Times New Roman"/>
      <w:sz w:val="18"/>
      <w:szCs w:val="18"/>
    </w:rPr>
  </w:style>
  <w:style w:type="character" w:customStyle="1" w:styleId="4Znak">
    <w:name w:val="4 Znak"/>
    <w:link w:val="4"/>
    <w:rsid w:val="0094273C"/>
    <w:rPr>
      <w:rFonts w:ascii="Times New Roman" w:eastAsia="Times New Roman" w:hAnsi="Times New Roman" w:cs="Times New Roman"/>
      <w:sz w:val="18"/>
      <w:szCs w:val="18"/>
    </w:rPr>
  </w:style>
  <w:style w:type="character" w:customStyle="1" w:styleId="A0">
    <w:name w:val="A0"/>
    <w:rsid w:val="0094273C"/>
    <w:rPr>
      <w:color w:val="000000"/>
      <w:sz w:val="22"/>
      <w:szCs w:val="22"/>
    </w:rPr>
  </w:style>
  <w:style w:type="paragraph" w:customStyle="1" w:styleId="light1">
    <w:name w:val="light1"/>
    <w:basedOn w:val="Normalny"/>
    <w:rsid w:val="0094273C"/>
    <w:pPr>
      <w:spacing w:before="150" w:after="150" w:line="240" w:lineRule="auto"/>
      <w:jc w:val="left"/>
    </w:pPr>
    <w:rPr>
      <w:rFonts w:ascii="Times New Roman" w:eastAsia="Times New Roman" w:hAnsi="Times New Roman" w:cs="Times New Roman"/>
      <w:color w:val="D7E4F0"/>
      <w:sz w:val="24"/>
      <w:szCs w:val="24"/>
      <w:lang w:eastAsia="pl-PL"/>
    </w:rPr>
  </w:style>
  <w:style w:type="character" w:customStyle="1" w:styleId="FontStyle131">
    <w:name w:val="Font Style131"/>
    <w:rsid w:val="0094273C"/>
    <w:rPr>
      <w:rFonts w:ascii="Arial" w:hAnsi="Arial" w:cs="Arial"/>
      <w:color w:val="000000"/>
      <w:sz w:val="16"/>
      <w:szCs w:val="16"/>
    </w:rPr>
  </w:style>
  <w:style w:type="paragraph" w:customStyle="1" w:styleId="Style18">
    <w:name w:val="Style18"/>
    <w:basedOn w:val="Normalny"/>
    <w:rsid w:val="0094273C"/>
    <w:pPr>
      <w:widowControl w:val="0"/>
      <w:autoSpaceDE w:val="0"/>
      <w:autoSpaceDN w:val="0"/>
      <w:adjustRightInd w:val="0"/>
      <w:spacing w:after="0" w:line="192" w:lineRule="exact"/>
    </w:pPr>
    <w:rPr>
      <w:rFonts w:ascii="Arial" w:eastAsia="Times New Roman" w:hAnsi="Arial" w:cs="Arial"/>
      <w:sz w:val="24"/>
      <w:szCs w:val="24"/>
      <w:lang w:eastAsia="pl-PL"/>
    </w:rPr>
  </w:style>
  <w:style w:type="paragraph" w:customStyle="1" w:styleId="bPunkt">
    <w:name w:val="bPunkt"/>
    <w:basedOn w:val="Normalny"/>
    <w:rsid w:val="0094273C"/>
    <w:pPr>
      <w:tabs>
        <w:tab w:val="num" w:pos="1590"/>
      </w:tabs>
      <w:spacing w:after="120" w:line="240" w:lineRule="auto"/>
      <w:ind w:left="1590" w:hanging="510"/>
      <w:jc w:val="left"/>
    </w:pPr>
    <w:rPr>
      <w:rFonts w:ascii="Times New Roman" w:eastAsia="Times New Roman" w:hAnsi="Times New Roman" w:cs="Times New Roman"/>
      <w:sz w:val="24"/>
      <w:szCs w:val="24"/>
      <w:lang w:eastAsia="pl-PL"/>
    </w:rPr>
  </w:style>
  <w:style w:type="paragraph" w:customStyle="1" w:styleId="Nagwek3-gosiaZnak">
    <w:name w:val="Nagłówek 3 -gosia Znak"/>
    <w:basedOn w:val="Normalny"/>
    <w:link w:val="Nagwek3-gosiaZnakZnak"/>
    <w:rsid w:val="0094273C"/>
    <w:pPr>
      <w:spacing w:after="0" w:line="240" w:lineRule="auto"/>
      <w:jc w:val="left"/>
    </w:pPr>
    <w:rPr>
      <w:rFonts w:ascii="Times New Roman" w:eastAsia="Times New Roman" w:hAnsi="Times New Roman" w:cs="Times New Roman"/>
      <w:b/>
      <w:bCs/>
      <w:color w:val="000000"/>
      <w:sz w:val="24"/>
      <w:szCs w:val="20"/>
    </w:rPr>
  </w:style>
  <w:style w:type="character" w:customStyle="1" w:styleId="Nagwek3-gosiaZnakZnak">
    <w:name w:val="Nagłówek 3 -gosia Znak Znak"/>
    <w:link w:val="Nagwek3-gosiaZnak"/>
    <w:rsid w:val="0094273C"/>
    <w:rPr>
      <w:rFonts w:ascii="Times New Roman" w:eastAsia="Times New Roman" w:hAnsi="Times New Roman" w:cs="Times New Roman"/>
      <w:b/>
      <w:bCs/>
      <w:color w:val="000000"/>
      <w:sz w:val="24"/>
      <w:szCs w:val="20"/>
    </w:rPr>
  </w:style>
  <w:style w:type="character" w:customStyle="1" w:styleId="AkapitzlistZnak1">
    <w:name w:val="Akapit z listą Znak1"/>
    <w:locked/>
    <w:rsid w:val="0094273C"/>
    <w:rPr>
      <w:rFonts w:eastAsia="Times New Roman"/>
    </w:rPr>
  </w:style>
  <w:style w:type="paragraph" w:styleId="Tekstpodstawowyzwciciem">
    <w:name w:val="Body Text First Indent"/>
    <w:basedOn w:val="Tekstpodstawowy"/>
    <w:link w:val="TekstpodstawowyzwciciemZnak"/>
    <w:unhideWhenUsed/>
    <w:rsid w:val="0094273C"/>
    <w:pPr>
      <w:spacing w:line="240" w:lineRule="auto"/>
      <w:ind w:firstLine="210"/>
      <w:jc w:val="left"/>
    </w:pPr>
    <w:rPr>
      <w:rFonts w:ascii="Times New Roman" w:eastAsia="Times New Roman" w:hAnsi="Times New Roman" w:cs="Times New Roman"/>
      <w:sz w:val="20"/>
      <w:szCs w:val="20"/>
      <w:lang w:eastAsia="pl-PL"/>
    </w:rPr>
  </w:style>
  <w:style w:type="character" w:customStyle="1" w:styleId="TekstpodstawowyzwciciemZnak">
    <w:name w:val="Tekst podstawowy z wcięciem Znak"/>
    <w:basedOn w:val="TekstpodstawowyZnak"/>
    <w:link w:val="Tekstpodstawowyzwciciem"/>
    <w:rsid w:val="0094273C"/>
    <w:rPr>
      <w:rFonts w:ascii="Times New Roman" w:eastAsia="Times New Roman" w:hAnsi="Times New Roman" w:cs="Times New Roman"/>
      <w:sz w:val="20"/>
      <w:szCs w:val="20"/>
      <w:lang w:eastAsia="pl-PL"/>
    </w:rPr>
  </w:style>
  <w:style w:type="character" w:customStyle="1" w:styleId="BezodstpwZnakZnak">
    <w:name w:val="Bez odstępów Znak Znak"/>
    <w:locked/>
    <w:rsid w:val="0094273C"/>
    <w:rPr>
      <w:rFonts w:eastAsia="Times New Roman"/>
      <w:sz w:val="24"/>
      <w:szCs w:val="24"/>
      <w:effect w:val="none"/>
      <w:lang w:eastAsia="pl-PL" w:bidi="ar-SA"/>
    </w:rPr>
  </w:style>
  <w:style w:type="paragraph" w:styleId="Spistreci3">
    <w:name w:val="toc 3"/>
    <w:basedOn w:val="Normalny"/>
    <w:next w:val="Normalny"/>
    <w:autoRedefine/>
    <w:uiPriority w:val="39"/>
    <w:unhideWhenUsed/>
    <w:qFormat/>
    <w:rsid w:val="0094273C"/>
    <w:pPr>
      <w:tabs>
        <w:tab w:val="right" w:leader="dot" w:pos="9061"/>
      </w:tabs>
      <w:spacing w:after="80" w:line="240" w:lineRule="auto"/>
      <w:ind w:left="426"/>
      <w:jc w:val="left"/>
    </w:pPr>
    <w:rPr>
      <w:rFonts w:ascii="Calibri" w:eastAsia="Times New Roman" w:hAnsi="Calibri" w:cs="Times New Roman"/>
      <w:sz w:val="20"/>
      <w:szCs w:val="20"/>
      <w:lang w:eastAsia="pl-PL"/>
    </w:rPr>
  </w:style>
  <w:style w:type="paragraph" w:customStyle="1" w:styleId="11">
    <w:name w:val="11"/>
    <w:basedOn w:val="Normalny"/>
    <w:link w:val="11Znak"/>
    <w:qFormat/>
    <w:rsid w:val="0094273C"/>
    <w:pPr>
      <w:numPr>
        <w:ilvl w:val="1"/>
        <w:numId w:val="77"/>
      </w:numPr>
      <w:spacing w:after="0"/>
      <w:ind w:firstLine="709"/>
    </w:pPr>
    <w:rPr>
      <w:rFonts w:ascii="Calibri" w:eastAsia="Calibri" w:hAnsi="Calibri" w:cs="Times New Roman"/>
      <w:b/>
      <w:sz w:val="24"/>
      <w:szCs w:val="24"/>
    </w:rPr>
  </w:style>
  <w:style w:type="character" w:customStyle="1" w:styleId="11Znak">
    <w:name w:val="11 Znak"/>
    <w:link w:val="11"/>
    <w:rsid w:val="0094273C"/>
    <w:rPr>
      <w:rFonts w:ascii="Calibri" w:eastAsia="Calibri" w:hAnsi="Calibri" w:cs="Times New Roman"/>
      <w:b/>
      <w:sz w:val="24"/>
      <w:szCs w:val="24"/>
    </w:rPr>
  </w:style>
  <w:style w:type="character" w:customStyle="1" w:styleId="apple-converted-space">
    <w:name w:val="apple-converted-space"/>
    <w:basedOn w:val="Domylnaczcionkaakapitu"/>
    <w:rsid w:val="0094273C"/>
  </w:style>
  <w:style w:type="character" w:customStyle="1" w:styleId="st">
    <w:name w:val="st"/>
    <w:basedOn w:val="Domylnaczcionkaakapitu"/>
    <w:rsid w:val="0094273C"/>
  </w:style>
  <w:style w:type="character" w:customStyle="1" w:styleId="FontStyle38">
    <w:name w:val="Font Style38"/>
    <w:rsid w:val="0094273C"/>
    <w:rPr>
      <w:rFonts w:ascii="Calibri" w:hAnsi="Calibri" w:cs="Calibri"/>
      <w:color w:val="000000"/>
      <w:sz w:val="18"/>
      <w:szCs w:val="18"/>
    </w:rPr>
  </w:style>
  <w:style w:type="character" w:customStyle="1" w:styleId="Nagwek7Znak1">
    <w:name w:val="Nagłówek 7 Znak1"/>
    <w:semiHidden/>
    <w:rsid w:val="0094273C"/>
    <w:rPr>
      <w:rFonts w:ascii="Calibri" w:eastAsia="Times New Roman" w:hAnsi="Calibri" w:cs="Times New Roman"/>
      <w:sz w:val="24"/>
      <w:szCs w:val="24"/>
    </w:rPr>
  </w:style>
  <w:style w:type="character" w:customStyle="1" w:styleId="Nagwek8Znak1">
    <w:name w:val="Nagłówek 8 Znak1"/>
    <w:semiHidden/>
    <w:rsid w:val="0094273C"/>
    <w:rPr>
      <w:rFonts w:ascii="Calibri" w:eastAsia="Times New Roman" w:hAnsi="Calibri" w:cs="Times New Roman"/>
      <w:i/>
      <w:iCs/>
      <w:sz w:val="24"/>
      <w:szCs w:val="24"/>
    </w:rPr>
  </w:style>
  <w:style w:type="character" w:customStyle="1" w:styleId="Nagwek9Znak1">
    <w:name w:val="Nagłówek 9 Znak1"/>
    <w:semiHidden/>
    <w:rsid w:val="0094273C"/>
    <w:rPr>
      <w:rFonts w:ascii="Cambria" w:eastAsia="Times New Roman" w:hAnsi="Cambria" w:cs="Times New Roman"/>
      <w:sz w:val="22"/>
      <w:szCs w:val="22"/>
    </w:rPr>
  </w:style>
  <w:style w:type="paragraph" w:styleId="Nagwekspisutreci">
    <w:name w:val="TOC Heading"/>
    <w:basedOn w:val="Nagwek1"/>
    <w:next w:val="Normalny"/>
    <w:unhideWhenUsed/>
    <w:qFormat/>
    <w:rsid w:val="0094273C"/>
    <w:pPr>
      <w:keepLines w:val="0"/>
      <w:numPr>
        <w:numId w:val="0"/>
      </w:numPr>
      <w:spacing w:before="240" w:after="60" w:line="240" w:lineRule="auto"/>
      <w:jc w:val="left"/>
      <w:outlineLvl w:val="9"/>
    </w:pPr>
    <w:rPr>
      <w:rFonts w:ascii="Cambria" w:eastAsia="Times New Roman" w:hAnsi="Cambria" w:cs="Times New Roman"/>
      <w:color w:val="auto"/>
      <w:kern w:val="32"/>
      <w:sz w:val="32"/>
      <w:szCs w:val="32"/>
      <w:lang w:val="en-US" w:bidi="en-US"/>
    </w:rPr>
  </w:style>
  <w:style w:type="paragraph" w:customStyle="1" w:styleId="tabelakierunki">
    <w:name w:val="tabela_kierunki"/>
    <w:basedOn w:val="Normalny"/>
    <w:link w:val="tabelakierunkiZnak"/>
    <w:rsid w:val="0094273C"/>
    <w:pPr>
      <w:spacing w:after="0"/>
    </w:pPr>
    <w:rPr>
      <w:rFonts w:ascii="Calibri" w:eastAsia="Times New Roman" w:hAnsi="Calibri" w:cs="Times New Roman"/>
    </w:rPr>
  </w:style>
  <w:style w:type="character" w:customStyle="1" w:styleId="tabelakierunkiZnak">
    <w:name w:val="tabela_kierunki Znak"/>
    <w:link w:val="tabelakierunki"/>
    <w:rsid w:val="0094273C"/>
    <w:rPr>
      <w:rFonts w:ascii="Calibri" w:eastAsia="Times New Roman" w:hAnsi="Calibri" w:cs="Times New Roman"/>
    </w:rPr>
  </w:style>
  <w:style w:type="paragraph" w:customStyle="1" w:styleId="1111">
    <w:name w:val="1111"/>
    <w:basedOn w:val="Akapitzlist"/>
    <w:link w:val="1111Znak"/>
    <w:rsid w:val="0094273C"/>
    <w:pPr>
      <w:spacing w:after="0"/>
      <w:ind w:left="0"/>
    </w:pPr>
    <w:rPr>
      <w:rFonts w:ascii="Calibri" w:eastAsia="Times New Roman" w:hAnsi="Calibri" w:cs="Times New Roman"/>
      <w:b/>
      <w:i/>
    </w:rPr>
  </w:style>
  <w:style w:type="character" w:customStyle="1" w:styleId="1111Znak">
    <w:name w:val="1111 Znak"/>
    <w:link w:val="1111"/>
    <w:rsid w:val="0094273C"/>
    <w:rPr>
      <w:rFonts w:ascii="Calibri" w:eastAsia="Times New Roman" w:hAnsi="Calibri" w:cs="Times New Roman"/>
      <w:b/>
      <w:i/>
    </w:rPr>
  </w:style>
  <w:style w:type="paragraph" w:customStyle="1" w:styleId="uwarunkowania3">
    <w:name w:val="uwarunkowania_3"/>
    <w:basedOn w:val="Normalny"/>
    <w:link w:val="uwarunkowania3Znak"/>
    <w:rsid w:val="0094273C"/>
    <w:pPr>
      <w:numPr>
        <w:ilvl w:val="1"/>
        <w:numId w:val="78"/>
      </w:numPr>
    </w:pPr>
    <w:rPr>
      <w:rFonts w:ascii="Calibri" w:eastAsia="Times New Roman" w:hAnsi="Calibri" w:cs="Times New Roman"/>
      <w:b/>
      <w:sz w:val="24"/>
      <w:szCs w:val="24"/>
    </w:rPr>
  </w:style>
  <w:style w:type="character" w:customStyle="1" w:styleId="uwarunkowania3Znak">
    <w:name w:val="uwarunkowania_3 Znak"/>
    <w:link w:val="uwarunkowania3"/>
    <w:rsid w:val="0094273C"/>
    <w:rPr>
      <w:rFonts w:ascii="Calibri" w:eastAsia="Times New Roman" w:hAnsi="Calibri" w:cs="Times New Roman"/>
      <w:b/>
      <w:sz w:val="24"/>
      <w:szCs w:val="24"/>
    </w:rPr>
  </w:style>
  <w:style w:type="paragraph" w:customStyle="1" w:styleId="kreseczki">
    <w:name w:val="kreseczki"/>
    <w:basedOn w:val="Normalny"/>
    <w:link w:val="kreseczkiZnak"/>
    <w:rsid w:val="0094273C"/>
    <w:pPr>
      <w:numPr>
        <w:numId w:val="79"/>
      </w:numPr>
      <w:autoSpaceDE w:val="0"/>
      <w:autoSpaceDN w:val="0"/>
      <w:spacing w:after="0" w:line="240" w:lineRule="auto"/>
      <w:jc w:val="left"/>
    </w:pPr>
    <w:rPr>
      <w:rFonts w:ascii="Calibri" w:eastAsia="Times New Roman" w:hAnsi="Calibri" w:cs="Times New Roman"/>
      <w:szCs w:val="24"/>
    </w:rPr>
  </w:style>
  <w:style w:type="character" w:customStyle="1" w:styleId="kreseczkiZnak">
    <w:name w:val="kreseczki Znak"/>
    <w:link w:val="kreseczki"/>
    <w:rsid w:val="0094273C"/>
    <w:rPr>
      <w:rFonts w:ascii="Calibri" w:eastAsia="Times New Roman" w:hAnsi="Calibri" w:cs="Times New Roman"/>
      <w:szCs w:val="24"/>
    </w:rPr>
  </w:style>
  <w:style w:type="paragraph" w:customStyle="1" w:styleId="probba">
    <w:name w:val="probba"/>
    <w:basedOn w:val="Normalny"/>
    <w:link w:val="probbaZnak"/>
    <w:rsid w:val="0094273C"/>
    <w:pPr>
      <w:framePr w:hSpace="141" w:wrap="around" w:vAnchor="page" w:hAnchor="margin" w:xAlign="center" w:y="1572"/>
      <w:numPr>
        <w:numId w:val="80"/>
      </w:numPr>
      <w:spacing w:after="0" w:line="240" w:lineRule="auto"/>
      <w:jc w:val="left"/>
    </w:pPr>
    <w:rPr>
      <w:rFonts w:ascii="Calibri" w:eastAsia="Times New Roman" w:hAnsi="Calibri" w:cs="Times New Roman"/>
      <w:sz w:val="15"/>
      <w:szCs w:val="15"/>
    </w:rPr>
  </w:style>
  <w:style w:type="character" w:customStyle="1" w:styleId="probbaZnak">
    <w:name w:val="probba Znak"/>
    <w:link w:val="probba"/>
    <w:rsid w:val="0094273C"/>
    <w:rPr>
      <w:rFonts w:ascii="Calibri" w:eastAsia="Times New Roman" w:hAnsi="Calibri" w:cs="Times New Roman"/>
      <w:sz w:val="15"/>
      <w:szCs w:val="15"/>
    </w:rPr>
  </w:style>
  <w:style w:type="paragraph" w:customStyle="1" w:styleId="kropki">
    <w:name w:val="kropki"/>
    <w:basedOn w:val="Normalny"/>
    <w:link w:val="kropkiZnak"/>
    <w:rsid w:val="0094273C"/>
    <w:pPr>
      <w:tabs>
        <w:tab w:val="num" w:pos="567"/>
      </w:tabs>
      <w:autoSpaceDE w:val="0"/>
      <w:autoSpaceDN w:val="0"/>
      <w:spacing w:after="0" w:line="240" w:lineRule="auto"/>
      <w:ind w:left="1418" w:hanging="284"/>
    </w:pPr>
    <w:rPr>
      <w:rFonts w:ascii="Calibri" w:eastAsia="Times New Roman" w:hAnsi="Calibri" w:cs="Times New Roman"/>
      <w:sz w:val="20"/>
      <w:szCs w:val="24"/>
    </w:rPr>
  </w:style>
  <w:style w:type="character" w:customStyle="1" w:styleId="kropkiZnak">
    <w:name w:val="kropki Znak"/>
    <w:link w:val="kropki"/>
    <w:rsid w:val="0094273C"/>
    <w:rPr>
      <w:rFonts w:ascii="Calibri" w:eastAsia="Times New Roman" w:hAnsi="Calibri" w:cs="Times New Roman"/>
      <w:sz w:val="20"/>
      <w:szCs w:val="24"/>
    </w:rPr>
  </w:style>
  <w:style w:type="paragraph" w:customStyle="1" w:styleId="JARO0">
    <w:name w:val="JARO"/>
    <w:basedOn w:val="kropki"/>
    <w:link w:val="JAROZnak0"/>
    <w:rsid w:val="0094273C"/>
    <w:pPr>
      <w:tabs>
        <w:tab w:val="clear" w:pos="567"/>
      </w:tabs>
      <w:ind w:left="1276" w:hanging="425"/>
    </w:pPr>
    <w:rPr>
      <w:sz w:val="22"/>
    </w:rPr>
  </w:style>
  <w:style w:type="character" w:customStyle="1" w:styleId="JAROZnak0">
    <w:name w:val="JARO Znak"/>
    <w:link w:val="JARO0"/>
    <w:rsid w:val="0094273C"/>
    <w:rPr>
      <w:rFonts w:ascii="Calibri" w:eastAsia="Times New Roman" w:hAnsi="Calibri" w:cs="Times New Roman"/>
      <w:szCs w:val="24"/>
    </w:rPr>
  </w:style>
  <w:style w:type="paragraph" w:customStyle="1" w:styleId="1">
    <w:name w:val="1"/>
    <w:basedOn w:val="Normalny"/>
    <w:link w:val="1Znak"/>
    <w:rsid w:val="0094273C"/>
    <w:pPr>
      <w:spacing w:after="0" w:line="240" w:lineRule="auto"/>
      <w:jc w:val="left"/>
    </w:pPr>
    <w:rPr>
      <w:rFonts w:ascii="Calibri" w:eastAsia="Times New Roman" w:hAnsi="Calibri" w:cs="Times New Roman"/>
      <w:b/>
      <w:sz w:val="28"/>
      <w:szCs w:val="28"/>
    </w:rPr>
  </w:style>
  <w:style w:type="character" w:customStyle="1" w:styleId="1Znak">
    <w:name w:val="1 Znak"/>
    <w:link w:val="1"/>
    <w:rsid w:val="0094273C"/>
    <w:rPr>
      <w:rFonts w:ascii="Calibri" w:eastAsia="Times New Roman" w:hAnsi="Calibri" w:cs="Times New Roman"/>
      <w:b/>
      <w:sz w:val="28"/>
      <w:szCs w:val="28"/>
    </w:rPr>
  </w:style>
  <w:style w:type="paragraph" w:customStyle="1" w:styleId="2">
    <w:name w:val="2"/>
    <w:basedOn w:val="Nagwek2"/>
    <w:link w:val="2Znak"/>
    <w:rsid w:val="0094273C"/>
    <w:pPr>
      <w:keepLines w:val="0"/>
      <w:numPr>
        <w:ilvl w:val="0"/>
        <w:numId w:val="0"/>
      </w:numPr>
      <w:spacing w:before="240" w:after="60" w:line="240" w:lineRule="auto"/>
      <w:jc w:val="left"/>
    </w:pPr>
    <w:rPr>
      <w:rFonts w:ascii="Calibri" w:eastAsia="Times New Roman" w:hAnsi="Calibri" w:cs="Times New Roman"/>
      <w:iCs/>
      <w:color w:val="auto"/>
      <w:sz w:val="24"/>
      <w:szCs w:val="24"/>
    </w:rPr>
  </w:style>
  <w:style w:type="character" w:customStyle="1" w:styleId="2Znak">
    <w:name w:val="2 Znak"/>
    <w:link w:val="2"/>
    <w:rsid w:val="0094273C"/>
    <w:rPr>
      <w:rFonts w:ascii="Calibri" w:eastAsia="Times New Roman" w:hAnsi="Calibri" w:cs="Times New Roman"/>
      <w:b/>
      <w:bCs/>
      <w:iCs/>
      <w:sz w:val="24"/>
      <w:szCs w:val="24"/>
    </w:rPr>
  </w:style>
  <w:style w:type="paragraph" w:customStyle="1" w:styleId="3">
    <w:name w:val="3"/>
    <w:basedOn w:val="Normalny"/>
    <w:link w:val="3Znak"/>
    <w:rsid w:val="0094273C"/>
    <w:pPr>
      <w:spacing w:after="0"/>
      <w:ind w:left="567" w:hanging="567"/>
      <w:jc w:val="left"/>
    </w:pPr>
    <w:rPr>
      <w:rFonts w:ascii="Calibri" w:eastAsia="Times New Roman" w:hAnsi="Calibri" w:cs="Times New Roman"/>
      <w:b/>
      <w:i/>
      <w:sz w:val="24"/>
      <w:szCs w:val="24"/>
    </w:rPr>
  </w:style>
  <w:style w:type="character" w:customStyle="1" w:styleId="3Znak">
    <w:name w:val="3 Znak"/>
    <w:link w:val="3"/>
    <w:rsid w:val="0094273C"/>
    <w:rPr>
      <w:rFonts w:ascii="Calibri" w:eastAsia="Times New Roman" w:hAnsi="Calibri" w:cs="Times New Roman"/>
      <w:b/>
      <w:i/>
      <w:sz w:val="24"/>
      <w:szCs w:val="24"/>
    </w:rPr>
  </w:style>
  <w:style w:type="paragraph" w:customStyle="1" w:styleId="5">
    <w:name w:val="5"/>
    <w:basedOn w:val="Normalny"/>
    <w:link w:val="5Znak"/>
    <w:rsid w:val="0094273C"/>
    <w:pPr>
      <w:spacing w:after="0" w:line="240" w:lineRule="auto"/>
      <w:jc w:val="left"/>
    </w:pPr>
    <w:rPr>
      <w:rFonts w:ascii="Calibri" w:eastAsia="Times New Roman" w:hAnsi="Calibri" w:cs="Times New Roman"/>
      <w:sz w:val="24"/>
      <w:szCs w:val="24"/>
    </w:rPr>
  </w:style>
  <w:style w:type="character" w:customStyle="1" w:styleId="5Znak">
    <w:name w:val="5 Znak"/>
    <w:link w:val="5"/>
    <w:rsid w:val="0094273C"/>
    <w:rPr>
      <w:rFonts w:ascii="Calibri" w:eastAsia="Times New Roman" w:hAnsi="Calibri" w:cs="Times New Roman"/>
      <w:sz w:val="24"/>
      <w:szCs w:val="24"/>
    </w:rPr>
  </w:style>
  <w:style w:type="paragraph" w:customStyle="1" w:styleId="15-akapit">
    <w:name w:val="1.5-akapit"/>
    <w:basedOn w:val="Normalny"/>
    <w:link w:val="15-akapitZnak"/>
    <w:rsid w:val="0094273C"/>
    <w:pPr>
      <w:suppressAutoHyphens/>
      <w:overflowPunct w:val="0"/>
      <w:autoSpaceDE w:val="0"/>
      <w:autoSpaceDN w:val="0"/>
      <w:adjustRightInd w:val="0"/>
      <w:spacing w:after="0" w:line="240" w:lineRule="auto"/>
      <w:ind w:firstLine="851"/>
      <w:textAlignment w:val="baseline"/>
    </w:pPr>
    <w:rPr>
      <w:rFonts w:ascii="Calibri" w:eastAsia="Times New Roman" w:hAnsi="Calibri" w:cs="Times New Roman"/>
      <w:lang w:val="en-US" w:bidi="en-US"/>
    </w:rPr>
  </w:style>
  <w:style w:type="character" w:customStyle="1" w:styleId="15-akapitZnak">
    <w:name w:val="1.5-akapit Znak"/>
    <w:link w:val="15-akapit"/>
    <w:rsid w:val="0094273C"/>
    <w:rPr>
      <w:rFonts w:ascii="Calibri" w:eastAsia="Times New Roman" w:hAnsi="Calibri" w:cs="Times New Roman"/>
      <w:lang w:val="en-US" w:bidi="en-US"/>
    </w:rPr>
  </w:style>
  <w:style w:type="paragraph" w:customStyle="1" w:styleId="t1">
    <w:name w:val="t1"/>
    <w:basedOn w:val="Normalny"/>
    <w:link w:val="t1Znak"/>
    <w:rsid w:val="0094273C"/>
    <w:pPr>
      <w:spacing w:after="0"/>
    </w:pPr>
    <w:rPr>
      <w:rFonts w:ascii="Calibri" w:eastAsia="Times New Roman" w:hAnsi="Calibri" w:cs="Times New Roman"/>
      <w:b/>
      <w:sz w:val="24"/>
      <w:szCs w:val="24"/>
      <w:lang w:val="en-US" w:bidi="en-US"/>
    </w:rPr>
  </w:style>
  <w:style w:type="character" w:customStyle="1" w:styleId="t1Znak">
    <w:name w:val="t1 Znak"/>
    <w:link w:val="t1"/>
    <w:rsid w:val="0094273C"/>
    <w:rPr>
      <w:rFonts w:ascii="Calibri" w:eastAsia="Times New Roman" w:hAnsi="Calibri" w:cs="Times New Roman"/>
      <w:b/>
      <w:sz w:val="24"/>
      <w:szCs w:val="24"/>
      <w:lang w:val="en-US" w:bidi="en-US"/>
    </w:rPr>
  </w:style>
  <w:style w:type="paragraph" w:customStyle="1" w:styleId="r1">
    <w:name w:val="r1"/>
    <w:basedOn w:val="Bezodstpw"/>
    <w:link w:val="r1Znak"/>
    <w:rsid w:val="0094273C"/>
    <w:pPr>
      <w:spacing w:line="276" w:lineRule="auto"/>
      <w:jc w:val="both"/>
    </w:pPr>
    <w:rPr>
      <w:rFonts w:ascii="Calibri" w:eastAsia="Times New Roman" w:hAnsi="Calibri" w:cs="Times New Roman"/>
      <w:b/>
      <w:snapToGrid w:val="0"/>
      <w:sz w:val="24"/>
      <w:szCs w:val="24"/>
    </w:rPr>
  </w:style>
  <w:style w:type="character" w:customStyle="1" w:styleId="r1Znak">
    <w:name w:val="r1 Znak"/>
    <w:link w:val="r1"/>
    <w:rsid w:val="0094273C"/>
    <w:rPr>
      <w:rFonts w:ascii="Calibri" w:eastAsia="Times New Roman" w:hAnsi="Calibri" w:cs="Times New Roman"/>
      <w:b/>
      <w:snapToGrid w:val="0"/>
      <w:sz w:val="24"/>
      <w:szCs w:val="24"/>
    </w:rPr>
  </w:style>
  <w:style w:type="paragraph" w:customStyle="1" w:styleId="w1">
    <w:name w:val="w1"/>
    <w:basedOn w:val="Bezodstpw"/>
    <w:link w:val="w1Znak"/>
    <w:rsid w:val="0094273C"/>
    <w:pPr>
      <w:spacing w:line="276" w:lineRule="auto"/>
      <w:jc w:val="both"/>
    </w:pPr>
    <w:rPr>
      <w:rFonts w:ascii="Calibri" w:eastAsia="Times New Roman" w:hAnsi="Calibri" w:cs="Times New Roman"/>
      <w:b/>
      <w:snapToGrid w:val="0"/>
      <w:sz w:val="24"/>
      <w:szCs w:val="24"/>
    </w:rPr>
  </w:style>
  <w:style w:type="character" w:customStyle="1" w:styleId="w1Znak">
    <w:name w:val="w1 Znak"/>
    <w:link w:val="w1"/>
    <w:rsid w:val="0094273C"/>
    <w:rPr>
      <w:rFonts w:ascii="Calibri" w:eastAsia="Times New Roman" w:hAnsi="Calibri" w:cs="Times New Roman"/>
      <w:b/>
      <w:snapToGrid w:val="0"/>
      <w:sz w:val="24"/>
      <w:szCs w:val="24"/>
    </w:rPr>
  </w:style>
  <w:style w:type="numbering" w:customStyle="1" w:styleId="Styl1">
    <w:name w:val="Styl1"/>
    <w:rsid w:val="0094273C"/>
    <w:pPr>
      <w:numPr>
        <w:numId w:val="81"/>
      </w:numPr>
    </w:pPr>
  </w:style>
  <w:style w:type="numbering" w:customStyle="1" w:styleId="Styl2">
    <w:name w:val="Styl2"/>
    <w:rsid w:val="0094273C"/>
    <w:pPr>
      <w:numPr>
        <w:numId w:val="82"/>
      </w:numPr>
    </w:pPr>
  </w:style>
  <w:style w:type="character" w:customStyle="1" w:styleId="h2">
    <w:name w:val="h2"/>
    <w:basedOn w:val="Domylnaczcionkaakapitu"/>
    <w:rsid w:val="0094273C"/>
  </w:style>
  <w:style w:type="character" w:customStyle="1" w:styleId="h1">
    <w:name w:val="h1"/>
    <w:basedOn w:val="Domylnaczcionkaakapitu"/>
    <w:rsid w:val="0094273C"/>
  </w:style>
  <w:style w:type="character" w:customStyle="1" w:styleId="plainlinks">
    <w:name w:val="plainlinks"/>
    <w:rsid w:val="0094273C"/>
  </w:style>
  <w:style w:type="paragraph" w:customStyle="1" w:styleId="Nagowek2-magosiaZnak">
    <w:name w:val="Nagłowek 2- małgosia Znak"/>
    <w:basedOn w:val="Nagwek2"/>
    <w:link w:val="Nagowek2-magosiaZnakZnak"/>
    <w:rsid w:val="0094273C"/>
    <w:pPr>
      <w:keepLines w:val="0"/>
      <w:numPr>
        <w:ilvl w:val="0"/>
        <w:numId w:val="0"/>
      </w:numPr>
      <w:tabs>
        <w:tab w:val="left" w:pos="709"/>
      </w:tabs>
      <w:spacing w:before="0" w:line="240" w:lineRule="auto"/>
    </w:pPr>
    <w:rPr>
      <w:rFonts w:ascii="Calibri" w:eastAsia="Times New Roman" w:hAnsi="Calibri" w:cs="Times New Roman"/>
      <w:color w:val="auto"/>
      <w:sz w:val="28"/>
      <w:szCs w:val="20"/>
    </w:rPr>
  </w:style>
  <w:style w:type="character" w:customStyle="1" w:styleId="Nagowek2-magosiaZnakZnak">
    <w:name w:val="Nagłowek 2- małgosia Znak Znak"/>
    <w:link w:val="Nagowek2-magosiaZnak"/>
    <w:rsid w:val="0094273C"/>
    <w:rPr>
      <w:rFonts w:ascii="Calibri" w:eastAsia="Times New Roman" w:hAnsi="Calibri" w:cs="Times New Roman"/>
      <w:b/>
      <w:bCs/>
      <w:sz w:val="28"/>
      <w:szCs w:val="20"/>
    </w:rPr>
  </w:style>
  <w:style w:type="character" w:customStyle="1" w:styleId="Styl1Znak">
    <w:name w:val="Styl1 Znak"/>
    <w:locked/>
    <w:rsid w:val="0094273C"/>
    <w:rPr>
      <w:b/>
    </w:rPr>
  </w:style>
  <w:style w:type="paragraph" w:customStyle="1" w:styleId="Tekstpodstawowy22">
    <w:name w:val="Tekst podstawowy 22"/>
    <w:basedOn w:val="Normalny"/>
    <w:rsid w:val="0094273C"/>
    <w:pPr>
      <w:suppressAutoHyphens/>
      <w:overflowPunct w:val="0"/>
      <w:autoSpaceDE w:val="0"/>
      <w:spacing w:after="0" w:line="240" w:lineRule="auto"/>
      <w:textAlignment w:val="baseline"/>
    </w:pPr>
    <w:rPr>
      <w:rFonts w:ascii="Calibri" w:eastAsia="Times New Roman" w:hAnsi="Calibri" w:cs="Times New Roman"/>
      <w:sz w:val="24"/>
      <w:szCs w:val="24"/>
      <w:lang w:val="en-US" w:eastAsia="ar-SA" w:bidi="en-US"/>
    </w:rPr>
  </w:style>
  <w:style w:type="paragraph" w:customStyle="1" w:styleId="Bezodstpw1">
    <w:name w:val="Bez odstępów1"/>
    <w:rsid w:val="0094273C"/>
    <w:rPr>
      <w:rFonts w:ascii="Calibri" w:eastAsia="Times New Roman" w:hAnsi="Calibri" w:cs="Times New Roman"/>
      <w:sz w:val="24"/>
      <w:szCs w:val="24"/>
      <w:lang w:val="en-US" w:bidi="en-US"/>
    </w:rPr>
  </w:style>
  <w:style w:type="paragraph" w:customStyle="1" w:styleId="Bezodstpw10">
    <w:name w:val="Bez odstępów1"/>
    <w:rsid w:val="0094273C"/>
    <w:rPr>
      <w:rFonts w:ascii="Calibri" w:eastAsia="Times New Roman" w:hAnsi="Calibri" w:cs="Times New Roman"/>
      <w:sz w:val="24"/>
      <w:szCs w:val="24"/>
      <w:lang w:val="en-US" w:bidi="en-US"/>
    </w:rPr>
  </w:style>
  <w:style w:type="character" w:customStyle="1" w:styleId="ZwykytekstZnak">
    <w:name w:val="Zwykły tekst Znak"/>
    <w:link w:val="Zwykytekst"/>
    <w:semiHidden/>
    <w:rsid w:val="0094273C"/>
    <w:rPr>
      <w:rFonts w:ascii="Courier New" w:eastAsia="Times New Roman" w:hAnsi="Courier New" w:cs="Courier New"/>
    </w:rPr>
  </w:style>
  <w:style w:type="paragraph" w:styleId="Zwykytekst">
    <w:name w:val="Plain Text"/>
    <w:basedOn w:val="Normalny"/>
    <w:link w:val="ZwykytekstZnak"/>
    <w:semiHidden/>
    <w:rsid w:val="0094273C"/>
    <w:pPr>
      <w:spacing w:after="0" w:line="240" w:lineRule="auto"/>
      <w:jc w:val="left"/>
    </w:pPr>
    <w:rPr>
      <w:rFonts w:ascii="Courier New" w:eastAsia="Times New Roman" w:hAnsi="Courier New" w:cs="Courier New"/>
    </w:rPr>
  </w:style>
  <w:style w:type="character" w:customStyle="1" w:styleId="ZwykytekstZnak1">
    <w:name w:val="Zwykły tekst Znak1"/>
    <w:basedOn w:val="Domylnaczcionkaakapitu"/>
    <w:semiHidden/>
    <w:rsid w:val="0094273C"/>
    <w:rPr>
      <w:rFonts w:ascii="Consolas" w:hAnsi="Consolas" w:cs="Consolas"/>
      <w:sz w:val="21"/>
      <w:szCs w:val="21"/>
    </w:rPr>
  </w:style>
  <w:style w:type="character" w:customStyle="1" w:styleId="anetaZnak">
    <w:name w:val="aneta Znak"/>
    <w:rsid w:val="0094273C"/>
    <w:rPr>
      <w:rFonts w:ascii="Bookman Old Style" w:eastAsia="Times New Roman" w:hAnsi="Bookman Old Style" w:cs="Times New Roman"/>
      <w:b/>
      <w:color w:val="000000"/>
      <w:sz w:val="22"/>
      <w:szCs w:val="24"/>
      <w:lang w:eastAsia="en-US"/>
    </w:rPr>
  </w:style>
  <w:style w:type="character" w:customStyle="1" w:styleId="head4">
    <w:name w:val="head4"/>
    <w:basedOn w:val="Domylnaczcionkaakapitu"/>
    <w:rsid w:val="0094273C"/>
  </w:style>
  <w:style w:type="paragraph" w:customStyle="1" w:styleId="Blockquote">
    <w:name w:val="Blockquote"/>
    <w:basedOn w:val="Normalny"/>
    <w:rsid w:val="0094273C"/>
    <w:pPr>
      <w:spacing w:before="100" w:after="100" w:line="240" w:lineRule="auto"/>
      <w:ind w:left="360" w:right="360"/>
      <w:jc w:val="left"/>
    </w:pPr>
    <w:rPr>
      <w:rFonts w:ascii="Calibri" w:eastAsia="Times New Roman" w:hAnsi="Calibri" w:cs="Times New Roman"/>
      <w:snapToGrid w:val="0"/>
      <w:sz w:val="24"/>
      <w:szCs w:val="24"/>
      <w:lang w:val="en-US" w:bidi="en-US"/>
    </w:rPr>
  </w:style>
  <w:style w:type="character" w:customStyle="1" w:styleId="title1">
    <w:name w:val="title1"/>
    <w:rsid w:val="0094273C"/>
    <w:rPr>
      <w:rFonts w:ascii="Verdana" w:hAnsi="Verdana" w:hint="default"/>
      <w:b/>
      <w:bCs/>
      <w:i w:val="0"/>
      <w:iCs w:val="0"/>
      <w:caps w:val="0"/>
      <w:strike w:val="0"/>
      <w:dstrike w:val="0"/>
      <w:color w:val="24222C"/>
      <w:sz w:val="14"/>
      <w:szCs w:val="14"/>
      <w:u w:val="none"/>
      <w:effect w:val="none"/>
    </w:rPr>
  </w:style>
  <w:style w:type="character" w:customStyle="1" w:styleId="TekstkomentarzaZnak1">
    <w:name w:val="Tekst komentarza Znak1"/>
    <w:semiHidden/>
    <w:rsid w:val="0094273C"/>
    <w:rPr>
      <w:rFonts w:ascii="Times New Roman" w:eastAsia="Times New Roman" w:hAnsi="Times New Roman"/>
    </w:rPr>
  </w:style>
  <w:style w:type="character" w:customStyle="1" w:styleId="TematkomentarzaZnak1">
    <w:name w:val="Temat komentarza Znak1"/>
    <w:semiHidden/>
    <w:rsid w:val="0094273C"/>
    <w:rPr>
      <w:rFonts w:ascii="Times New Roman" w:eastAsia="Times New Roman" w:hAnsi="Times New Roman"/>
      <w:b/>
      <w:bCs/>
    </w:rPr>
  </w:style>
  <w:style w:type="character" w:customStyle="1" w:styleId="TekstprzypisukocowegoZnak1">
    <w:name w:val="Tekst przypisu końcowego Znak1"/>
    <w:semiHidden/>
    <w:rsid w:val="0094273C"/>
    <w:rPr>
      <w:rFonts w:eastAsia="Times New Roman"/>
    </w:rPr>
  </w:style>
  <w:style w:type="paragraph" w:customStyle="1" w:styleId="DefinitionList">
    <w:name w:val="Definition List"/>
    <w:basedOn w:val="Normalny"/>
    <w:next w:val="Normalny"/>
    <w:rsid w:val="0094273C"/>
    <w:pPr>
      <w:spacing w:after="0" w:line="240" w:lineRule="auto"/>
      <w:ind w:left="360"/>
      <w:jc w:val="left"/>
    </w:pPr>
    <w:rPr>
      <w:rFonts w:ascii="Calibri" w:eastAsia="Times New Roman" w:hAnsi="Calibri" w:cs="Times New Roman"/>
      <w:snapToGrid w:val="0"/>
      <w:sz w:val="24"/>
      <w:szCs w:val="24"/>
      <w:lang w:val="en-US" w:bidi="en-US"/>
    </w:rPr>
  </w:style>
  <w:style w:type="paragraph" w:customStyle="1" w:styleId="H3">
    <w:name w:val="H3"/>
    <w:basedOn w:val="Normalny"/>
    <w:next w:val="Normalny"/>
    <w:rsid w:val="0094273C"/>
    <w:pPr>
      <w:keepNext/>
      <w:spacing w:before="100" w:after="100" w:line="240" w:lineRule="auto"/>
      <w:jc w:val="left"/>
      <w:outlineLvl w:val="3"/>
    </w:pPr>
    <w:rPr>
      <w:rFonts w:ascii="Calibri" w:eastAsia="Times New Roman" w:hAnsi="Calibri" w:cs="Times New Roman"/>
      <w:b/>
      <w:snapToGrid w:val="0"/>
      <w:sz w:val="28"/>
      <w:szCs w:val="24"/>
      <w:lang w:val="en-US" w:bidi="en-US"/>
    </w:rPr>
  </w:style>
  <w:style w:type="character" w:customStyle="1" w:styleId="CITE">
    <w:name w:val="CITE"/>
    <w:rsid w:val="0094273C"/>
    <w:rPr>
      <w:i/>
    </w:rPr>
  </w:style>
  <w:style w:type="character" w:customStyle="1" w:styleId="postbody">
    <w:name w:val="postbody"/>
    <w:basedOn w:val="Domylnaczcionkaakapitu"/>
    <w:rsid w:val="0094273C"/>
  </w:style>
  <w:style w:type="character" w:customStyle="1" w:styleId="name-latin">
    <w:name w:val="name-latin"/>
    <w:basedOn w:val="Domylnaczcionkaakapitu"/>
    <w:rsid w:val="0094273C"/>
  </w:style>
  <w:style w:type="paragraph" w:styleId="Spistreci4">
    <w:name w:val="toc 4"/>
    <w:basedOn w:val="Normalny"/>
    <w:next w:val="Normalny"/>
    <w:autoRedefine/>
    <w:uiPriority w:val="39"/>
    <w:unhideWhenUsed/>
    <w:rsid w:val="0094273C"/>
    <w:pPr>
      <w:spacing w:after="0" w:line="240" w:lineRule="auto"/>
      <w:ind w:left="400"/>
      <w:jc w:val="left"/>
    </w:pPr>
    <w:rPr>
      <w:rFonts w:ascii="Calibri" w:eastAsia="Times New Roman" w:hAnsi="Calibri" w:cs="Times New Roman"/>
      <w:sz w:val="20"/>
      <w:szCs w:val="20"/>
      <w:lang w:eastAsia="pl-PL"/>
    </w:rPr>
  </w:style>
  <w:style w:type="paragraph" w:styleId="Spistreci5">
    <w:name w:val="toc 5"/>
    <w:basedOn w:val="Normalny"/>
    <w:next w:val="Normalny"/>
    <w:autoRedefine/>
    <w:unhideWhenUsed/>
    <w:rsid w:val="0094273C"/>
    <w:pPr>
      <w:spacing w:after="0" w:line="240" w:lineRule="auto"/>
      <w:ind w:left="600"/>
      <w:jc w:val="left"/>
    </w:pPr>
    <w:rPr>
      <w:rFonts w:ascii="Calibri" w:eastAsia="Times New Roman" w:hAnsi="Calibri" w:cs="Times New Roman"/>
      <w:sz w:val="20"/>
      <w:szCs w:val="20"/>
      <w:lang w:eastAsia="pl-PL"/>
    </w:rPr>
  </w:style>
  <w:style w:type="paragraph" w:styleId="Spistreci6">
    <w:name w:val="toc 6"/>
    <w:basedOn w:val="Normalny"/>
    <w:next w:val="Normalny"/>
    <w:autoRedefine/>
    <w:unhideWhenUsed/>
    <w:rsid w:val="0094273C"/>
    <w:pPr>
      <w:spacing w:after="0" w:line="240" w:lineRule="auto"/>
      <w:ind w:left="800"/>
      <w:jc w:val="left"/>
    </w:pPr>
    <w:rPr>
      <w:rFonts w:ascii="Calibri" w:eastAsia="Times New Roman" w:hAnsi="Calibri" w:cs="Times New Roman"/>
      <w:sz w:val="20"/>
      <w:szCs w:val="20"/>
      <w:lang w:eastAsia="pl-PL"/>
    </w:rPr>
  </w:style>
  <w:style w:type="paragraph" w:styleId="Spistreci7">
    <w:name w:val="toc 7"/>
    <w:basedOn w:val="Normalny"/>
    <w:next w:val="Normalny"/>
    <w:autoRedefine/>
    <w:unhideWhenUsed/>
    <w:rsid w:val="0094273C"/>
    <w:pPr>
      <w:spacing w:after="0" w:line="240" w:lineRule="auto"/>
      <w:ind w:left="1000"/>
      <w:jc w:val="left"/>
    </w:pPr>
    <w:rPr>
      <w:rFonts w:ascii="Calibri" w:eastAsia="Times New Roman" w:hAnsi="Calibri" w:cs="Times New Roman"/>
      <w:sz w:val="20"/>
      <w:szCs w:val="20"/>
      <w:lang w:eastAsia="pl-PL"/>
    </w:rPr>
  </w:style>
  <w:style w:type="paragraph" w:styleId="Spistreci8">
    <w:name w:val="toc 8"/>
    <w:basedOn w:val="Normalny"/>
    <w:next w:val="Normalny"/>
    <w:autoRedefine/>
    <w:unhideWhenUsed/>
    <w:rsid w:val="0094273C"/>
    <w:pPr>
      <w:spacing w:after="0" w:line="240" w:lineRule="auto"/>
      <w:ind w:left="1200"/>
      <w:jc w:val="left"/>
    </w:pPr>
    <w:rPr>
      <w:rFonts w:ascii="Calibri" w:eastAsia="Times New Roman" w:hAnsi="Calibri" w:cs="Times New Roman"/>
      <w:sz w:val="20"/>
      <w:szCs w:val="20"/>
      <w:lang w:eastAsia="pl-PL"/>
    </w:rPr>
  </w:style>
  <w:style w:type="paragraph" w:styleId="Spistreci9">
    <w:name w:val="toc 9"/>
    <w:basedOn w:val="Normalny"/>
    <w:next w:val="Normalny"/>
    <w:autoRedefine/>
    <w:unhideWhenUsed/>
    <w:rsid w:val="0094273C"/>
    <w:pPr>
      <w:spacing w:after="0" w:line="240" w:lineRule="auto"/>
      <w:ind w:left="1400"/>
      <w:jc w:val="left"/>
    </w:pPr>
    <w:rPr>
      <w:rFonts w:ascii="Calibri" w:eastAsia="Times New Roman" w:hAnsi="Calibri" w:cs="Times New Roman"/>
      <w:sz w:val="20"/>
      <w:szCs w:val="20"/>
      <w:lang w:eastAsia="pl-PL"/>
    </w:rPr>
  </w:style>
  <w:style w:type="numbering" w:customStyle="1" w:styleId="Styl3">
    <w:name w:val="Styl3"/>
    <w:rsid w:val="0094273C"/>
    <w:pPr>
      <w:numPr>
        <w:numId w:val="83"/>
      </w:numPr>
    </w:pPr>
  </w:style>
  <w:style w:type="numbering" w:customStyle="1" w:styleId="Styl4">
    <w:name w:val="Styl4"/>
    <w:rsid w:val="0094273C"/>
    <w:pPr>
      <w:numPr>
        <w:numId w:val="84"/>
      </w:numPr>
    </w:pPr>
  </w:style>
  <w:style w:type="numbering" w:customStyle="1" w:styleId="Styl5">
    <w:name w:val="Styl5"/>
    <w:rsid w:val="0094273C"/>
    <w:pPr>
      <w:numPr>
        <w:numId w:val="85"/>
      </w:numPr>
    </w:pPr>
  </w:style>
  <w:style w:type="character" w:customStyle="1" w:styleId="A2">
    <w:name w:val="A2"/>
    <w:rsid w:val="0094273C"/>
    <w:rPr>
      <w:b/>
      <w:bCs/>
      <w:color w:val="000000"/>
      <w:sz w:val="22"/>
      <w:szCs w:val="22"/>
    </w:rPr>
  </w:style>
  <w:style w:type="paragraph" w:styleId="Spisilustracji">
    <w:name w:val="table of figures"/>
    <w:basedOn w:val="Normalny"/>
    <w:next w:val="Normalny"/>
    <w:unhideWhenUsed/>
    <w:rsid w:val="0094273C"/>
    <w:pPr>
      <w:spacing w:after="0" w:line="240" w:lineRule="auto"/>
      <w:jc w:val="left"/>
    </w:pPr>
    <w:rPr>
      <w:rFonts w:ascii="Calibri" w:eastAsia="Times New Roman" w:hAnsi="Calibri" w:cs="Times New Roman"/>
      <w:sz w:val="24"/>
      <w:szCs w:val="24"/>
      <w:lang w:val="en-US" w:bidi="en-US"/>
    </w:rPr>
  </w:style>
  <w:style w:type="paragraph" w:styleId="Cytat">
    <w:name w:val="Quote"/>
    <w:basedOn w:val="Normalny"/>
    <w:next w:val="Normalny"/>
    <w:link w:val="CytatZnak"/>
    <w:qFormat/>
    <w:rsid w:val="0094273C"/>
    <w:pPr>
      <w:spacing w:after="0" w:line="240" w:lineRule="auto"/>
      <w:jc w:val="left"/>
    </w:pPr>
    <w:rPr>
      <w:rFonts w:ascii="Calibri" w:eastAsia="Times New Roman" w:hAnsi="Calibri" w:cs="Times New Roman"/>
      <w:i/>
      <w:sz w:val="24"/>
      <w:szCs w:val="24"/>
      <w:lang w:val="en-US" w:bidi="en-US"/>
    </w:rPr>
  </w:style>
  <w:style w:type="character" w:customStyle="1" w:styleId="CytatZnak">
    <w:name w:val="Cytat Znak"/>
    <w:basedOn w:val="Domylnaczcionkaakapitu"/>
    <w:link w:val="Cytat"/>
    <w:rsid w:val="0094273C"/>
    <w:rPr>
      <w:rFonts w:ascii="Calibri" w:eastAsia="Times New Roman" w:hAnsi="Calibri" w:cs="Times New Roman"/>
      <w:i/>
      <w:sz w:val="24"/>
      <w:szCs w:val="24"/>
      <w:lang w:val="en-US" w:bidi="en-US"/>
    </w:rPr>
  </w:style>
  <w:style w:type="paragraph" w:styleId="Cytatintensywny">
    <w:name w:val="Intense Quote"/>
    <w:basedOn w:val="Normalny"/>
    <w:next w:val="Normalny"/>
    <w:link w:val="CytatintensywnyZnak"/>
    <w:qFormat/>
    <w:rsid w:val="0094273C"/>
    <w:pPr>
      <w:spacing w:after="0" w:line="240" w:lineRule="auto"/>
      <w:ind w:left="720" w:right="720"/>
      <w:jc w:val="left"/>
    </w:pPr>
    <w:rPr>
      <w:rFonts w:ascii="Calibri" w:eastAsia="Times New Roman" w:hAnsi="Calibri" w:cs="Times New Roman"/>
      <w:b/>
      <w:i/>
      <w:sz w:val="24"/>
      <w:lang w:val="en-US" w:bidi="en-US"/>
    </w:rPr>
  </w:style>
  <w:style w:type="character" w:customStyle="1" w:styleId="CytatintensywnyZnak">
    <w:name w:val="Cytat intensywny Znak"/>
    <w:basedOn w:val="Domylnaczcionkaakapitu"/>
    <w:link w:val="Cytatintensywny"/>
    <w:rsid w:val="0094273C"/>
    <w:rPr>
      <w:rFonts w:ascii="Calibri" w:eastAsia="Times New Roman" w:hAnsi="Calibri" w:cs="Times New Roman"/>
      <w:b/>
      <w:i/>
      <w:sz w:val="24"/>
      <w:lang w:val="en-US" w:bidi="en-US"/>
    </w:rPr>
  </w:style>
  <w:style w:type="character" w:styleId="Wyrnieniedelikatne">
    <w:name w:val="Subtle Emphasis"/>
    <w:qFormat/>
    <w:rsid w:val="0094273C"/>
    <w:rPr>
      <w:i/>
      <w:color w:val="5A5A5A"/>
    </w:rPr>
  </w:style>
  <w:style w:type="character" w:styleId="Odwoaniedelikatne">
    <w:name w:val="Subtle Reference"/>
    <w:qFormat/>
    <w:rsid w:val="0094273C"/>
    <w:rPr>
      <w:sz w:val="24"/>
      <w:szCs w:val="24"/>
      <w:u w:val="single"/>
    </w:rPr>
  </w:style>
  <w:style w:type="character" w:styleId="Odwoanieintensywne">
    <w:name w:val="Intense Reference"/>
    <w:qFormat/>
    <w:rsid w:val="0094273C"/>
    <w:rPr>
      <w:b/>
      <w:sz w:val="24"/>
      <w:u w:val="single"/>
    </w:rPr>
  </w:style>
  <w:style w:type="paragraph" w:customStyle="1" w:styleId="p1">
    <w:name w:val="p1"/>
    <w:basedOn w:val="Nagwek"/>
    <w:qFormat/>
    <w:rsid w:val="0094273C"/>
    <w:pPr>
      <w:numPr>
        <w:numId w:val="90"/>
      </w:numPr>
      <w:tabs>
        <w:tab w:val="clear" w:pos="4536"/>
        <w:tab w:val="clear" w:pos="9072"/>
      </w:tabs>
      <w:spacing w:after="240"/>
      <w:ind w:left="567" w:hanging="567"/>
      <w:outlineLvl w:val="0"/>
    </w:pPr>
    <w:rPr>
      <w:rFonts w:ascii="Times New Roman" w:eastAsia="Times New Roman" w:hAnsi="Times New Roman" w:cs="Times New Roman"/>
      <w:b/>
      <w:sz w:val="24"/>
      <w:szCs w:val="24"/>
      <w:lang w:eastAsia="pl-PL"/>
    </w:rPr>
  </w:style>
  <w:style w:type="paragraph" w:customStyle="1" w:styleId="p2">
    <w:name w:val="p2"/>
    <w:basedOn w:val="Nagwek"/>
    <w:link w:val="p2Znak"/>
    <w:qFormat/>
    <w:rsid w:val="0094273C"/>
    <w:pPr>
      <w:numPr>
        <w:ilvl w:val="1"/>
        <w:numId w:val="90"/>
      </w:numPr>
      <w:tabs>
        <w:tab w:val="clear" w:pos="4536"/>
        <w:tab w:val="clear" w:pos="9072"/>
        <w:tab w:val="left" w:pos="993"/>
      </w:tabs>
      <w:spacing w:after="240"/>
      <w:ind w:left="992" w:hanging="635"/>
      <w:outlineLvl w:val="1"/>
    </w:pPr>
    <w:rPr>
      <w:rFonts w:ascii="Times New Roman" w:eastAsia="Times New Roman" w:hAnsi="Times New Roman" w:cs="Times New Roman"/>
      <w:b/>
    </w:rPr>
  </w:style>
  <w:style w:type="paragraph" w:customStyle="1" w:styleId="p3">
    <w:name w:val="p3"/>
    <w:basedOn w:val="Nagwek"/>
    <w:link w:val="p3Znak"/>
    <w:qFormat/>
    <w:rsid w:val="0094273C"/>
    <w:pPr>
      <w:numPr>
        <w:ilvl w:val="2"/>
        <w:numId w:val="90"/>
      </w:numPr>
      <w:tabs>
        <w:tab w:val="clear" w:pos="4536"/>
        <w:tab w:val="clear" w:pos="9072"/>
        <w:tab w:val="left" w:pos="709"/>
      </w:tabs>
      <w:spacing w:after="240"/>
      <w:ind w:left="1417" w:hanging="697"/>
      <w:jc w:val="left"/>
      <w:outlineLvl w:val="2"/>
    </w:pPr>
    <w:rPr>
      <w:rFonts w:ascii="Times New Roman" w:eastAsia="Times New Roman" w:hAnsi="Times New Roman" w:cs="Times New Roman"/>
      <w:b/>
    </w:rPr>
  </w:style>
  <w:style w:type="character" w:customStyle="1" w:styleId="p2Znak">
    <w:name w:val="p2 Znak"/>
    <w:link w:val="p2"/>
    <w:rsid w:val="0094273C"/>
    <w:rPr>
      <w:rFonts w:ascii="Times New Roman" w:eastAsia="Times New Roman" w:hAnsi="Times New Roman" w:cs="Times New Roman"/>
      <w:b/>
    </w:rPr>
  </w:style>
  <w:style w:type="paragraph" w:customStyle="1" w:styleId="p4">
    <w:name w:val="p4"/>
    <w:basedOn w:val="Nagwek"/>
    <w:qFormat/>
    <w:rsid w:val="0094273C"/>
    <w:pPr>
      <w:numPr>
        <w:ilvl w:val="3"/>
        <w:numId w:val="90"/>
      </w:numPr>
      <w:tabs>
        <w:tab w:val="clear" w:pos="4536"/>
        <w:tab w:val="clear" w:pos="9072"/>
        <w:tab w:val="left" w:pos="1985"/>
      </w:tabs>
      <w:spacing w:after="240"/>
      <w:ind w:left="1985" w:hanging="851"/>
      <w:jc w:val="left"/>
      <w:outlineLvl w:val="3"/>
    </w:pPr>
    <w:rPr>
      <w:rFonts w:ascii="Times New Roman" w:eastAsia="Times New Roman" w:hAnsi="Times New Roman" w:cs="Times New Roman"/>
      <w:b/>
      <w:lang w:eastAsia="pl-PL"/>
    </w:rPr>
  </w:style>
  <w:style w:type="character" w:customStyle="1" w:styleId="p3Znak">
    <w:name w:val="p3 Znak"/>
    <w:link w:val="p3"/>
    <w:rsid w:val="0094273C"/>
    <w:rPr>
      <w:rFonts w:ascii="Times New Roman" w:eastAsia="Times New Roman" w:hAnsi="Times New Roman" w:cs="Times New Roman"/>
      <w:b/>
    </w:rPr>
  </w:style>
  <w:style w:type="paragraph" w:customStyle="1" w:styleId="Tekstpodstawowy220">
    <w:name w:val="Tekst podstawowy 22"/>
    <w:basedOn w:val="Normalny"/>
    <w:rsid w:val="0094273C"/>
    <w:pPr>
      <w:suppressAutoHyphens/>
      <w:overflowPunct w:val="0"/>
      <w:autoSpaceDE w:val="0"/>
      <w:spacing w:after="0" w:line="240" w:lineRule="auto"/>
      <w:textAlignment w:val="baseline"/>
    </w:pPr>
    <w:rPr>
      <w:rFonts w:ascii="Calibri" w:eastAsia="Times New Roman" w:hAnsi="Calibri" w:cs="Times New Roman"/>
      <w:sz w:val="24"/>
      <w:szCs w:val="24"/>
      <w:lang w:val="en-US" w:eastAsia="ar-SA" w:bidi="en-US"/>
    </w:rPr>
  </w:style>
  <w:style w:type="paragraph" w:customStyle="1" w:styleId="Wypnktowanie1">
    <w:name w:val="Wypnktowanie 1"/>
    <w:basedOn w:val="Normalny"/>
    <w:rsid w:val="0094273C"/>
    <w:pPr>
      <w:numPr>
        <w:numId w:val="100"/>
      </w:numPr>
      <w:spacing w:after="0" w:line="240" w:lineRule="auto"/>
      <w:jc w:val="left"/>
    </w:pPr>
    <w:rPr>
      <w:rFonts w:ascii="Times New Roman" w:eastAsia="Times New Roman" w:hAnsi="Times New Roman" w:cs="Times New Roman"/>
      <w:sz w:val="24"/>
      <w:szCs w:val="24"/>
      <w:lang w:eastAsia="pl-PL"/>
    </w:rPr>
  </w:style>
  <w:style w:type="paragraph" w:customStyle="1" w:styleId="spis1">
    <w:name w:val="spis_1"/>
    <w:basedOn w:val="Normalny"/>
    <w:link w:val="spis1Znak"/>
    <w:qFormat/>
    <w:rsid w:val="0094273C"/>
    <w:pPr>
      <w:spacing w:after="0"/>
      <w:jc w:val="center"/>
      <w:outlineLvl w:val="0"/>
    </w:pPr>
    <w:rPr>
      <w:rFonts w:ascii="Times New Roman" w:eastAsia="Times New Roman" w:hAnsi="Times New Roman" w:cs="Times New Roman"/>
      <w:b/>
      <w:sz w:val="26"/>
      <w:szCs w:val="26"/>
    </w:rPr>
  </w:style>
  <w:style w:type="paragraph" w:customStyle="1" w:styleId="spis2">
    <w:name w:val="spis2"/>
    <w:basedOn w:val="Normalny"/>
    <w:link w:val="spis2Znak"/>
    <w:qFormat/>
    <w:rsid w:val="0094273C"/>
    <w:pPr>
      <w:numPr>
        <w:ilvl w:val="1"/>
        <w:numId w:val="71"/>
      </w:numPr>
      <w:spacing w:after="0"/>
      <w:ind w:left="567" w:hanging="567"/>
      <w:outlineLvl w:val="1"/>
    </w:pPr>
    <w:rPr>
      <w:rFonts w:ascii="Times New Roman" w:eastAsia="Times New Roman" w:hAnsi="Times New Roman" w:cs="Times New Roman"/>
      <w:b/>
      <w:sz w:val="24"/>
      <w:szCs w:val="24"/>
    </w:rPr>
  </w:style>
  <w:style w:type="character" w:customStyle="1" w:styleId="spis1Znak">
    <w:name w:val="spis_1 Znak"/>
    <w:link w:val="spis1"/>
    <w:rsid w:val="0094273C"/>
    <w:rPr>
      <w:rFonts w:ascii="Times New Roman" w:eastAsia="Times New Roman" w:hAnsi="Times New Roman" w:cs="Times New Roman"/>
      <w:b/>
      <w:sz w:val="26"/>
      <w:szCs w:val="26"/>
    </w:rPr>
  </w:style>
  <w:style w:type="paragraph" w:customStyle="1" w:styleId="spis3">
    <w:name w:val="spis3"/>
    <w:basedOn w:val="Normalny"/>
    <w:link w:val="spis3Znak"/>
    <w:qFormat/>
    <w:rsid w:val="0094273C"/>
    <w:pPr>
      <w:numPr>
        <w:ilvl w:val="2"/>
        <w:numId w:val="71"/>
      </w:numPr>
      <w:spacing w:after="0"/>
      <w:ind w:left="567" w:hanging="567"/>
      <w:outlineLvl w:val="2"/>
    </w:pPr>
    <w:rPr>
      <w:rFonts w:ascii="Times New Roman" w:eastAsia="Times New Roman" w:hAnsi="Times New Roman" w:cs="Times New Roman"/>
      <w:b/>
    </w:rPr>
  </w:style>
  <w:style w:type="character" w:customStyle="1" w:styleId="spis2Znak">
    <w:name w:val="spis2 Znak"/>
    <w:link w:val="spis2"/>
    <w:rsid w:val="0094273C"/>
    <w:rPr>
      <w:rFonts w:ascii="Times New Roman" w:eastAsia="Times New Roman" w:hAnsi="Times New Roman" w:cs="Times New Roman"/>
      <w:b/>
      <w:sz w:val="24"/>
      <w:szCs w:val="24"/>
    </w:rPr>
  </w:style>
  <w:style w:type="paragraph" w:customStyle="1" w:styleId="spis4">
    <w:name w:val="spis4"/>
    <w:basedOn w:val="Nagwek"/>
    <w:link w:val="spis4Znak"/>
    <w:qFormat/>
    <w:rsid w:val="0094273C"/>
    <w:pPr>
      <w:ind w:left="728" w:hanging="728"/>
    </w:pPr>
    <w:rPr>
      <w:rFonts w:ascii="Times New Roman" w:eastAsia="Times New Roman" w:hAnsi="Times New Roman" w:cs="Times New Roman"/>
      <w:b/>
      <w:lang w:eastAsia="pl-PL"/>
    </w:rPr>
  </w:style>
  <w:style w:type="character" w:customStyle="1" w:styleId="spis3Znak">
    <w:name w:val="spis3 Znak"/>
    <w:link w:val="spis3"/>
    <w:rsid w:val="0094273C"/>
    <w:rPr>
      <w:rFonts w:ascii="Times New Roman" w:eastAsia="Times New Roman" w:hAnsi="Times New Roman" w:cs="Times New Roman"/>
      <w:b/>
    </w:rPr>
  </w:style>
  <w:style w:type="character" w:styleId="Numerstrony">
    <w:name w:val="page number"/>
    <w:basedOn w:val="Domylnaczcionkaakapitu"/>
    <w:semiHidden/>
    <w:unhideWhenUsed/>
    <w:rsid w:val="0094273C"/>
  </w:style>
  <w:style w:type="character" w:customStyle="1" w:styleId="spis4Znak">
    <w:name w:val="spis4 Znak"/>
    <w:link w:val="spis4"/>
    <w:rsid w:val="0094273C"/>
    <w:rPr>
      <w:rFonts w:ascii="Times New Roman" w:eastAsia="Times New Roman" w:hAnsi="Times New Roman" w:cs="Times New Roman"/>
      <w:b/>
      <w:lang w:eastAsia="pl-PL"/>
    </w:rPr>
  </w:style>
  <w:style w:type="paragraph" w:customStyle="1" w:styleId="rpo1">
    <w:name w:val="rpo1"/>
    <w:basedOn w:val="spis1"/>
    <w:link w:val="rpo1Znak"/>
    <w:qFormat/>
    <w:rsid w:val="0094273C"/>
    <w:pPr>
      <w:tabs>
        <w:tab w:val="num" w:pos="643"/>
      </w:tabs>
      <w:ind w:left="567" w:hanging="567"/>
      <w:jc w:val="left"/>
    </w:pPr>
  </w:style>
  <w:style w:type="paragraph" w:customStyle="1" w:styleId="rpo2">
    <w:name w:val="rpo2"/>
    <w:basedOn w:val="spis2"/>
    <w:link w:val="rpo2Znak"/>
    <w:qFormat/>
    <w:rsid w:val="0094273C"/>
  </w:style>
  <w:style w:type="character" w:customStyle="1" w:styleId="rpo1Znak">
    <w:name w:val="rpo1 Znak"/>
    <w:basedOn w:val="spis1Znak"/>
    <w:link w:val="rpo1"/>
    <w:rsid w:val="0094273C"/>
    <w:rPr>
      <w:b/>
    </w:rPr>
  </w:style>
  <w:style w:type="paragraph" w:customStyle="1" w:styleId="ddd">
    <w:name w:val="ddd"/>
    <w:basedOn w:val="spis1"/>
    <w:link w:val="dddZnak"/>
    <w:qFormat/>
    <w:rsid w:val="0094273C"/>
    <w:pPr>
      <w:numPr>
        <w:numId w:val="71"/>
      </w:numPr>
      <w:spacing w:after="120"/>
      <w:ind w:left="567" w:hanging="567"/>
      <w:jc w:val="left"/>
    </w:pPr>
  </w:style>
  <w:style w:type="character" w:customStyle="1" w:styleId="rpo2Znak">
    <w:name w:val="rpo2 Znak"/>
    <w:basedOn w:val="spis2Znak"/>
    <w:link w:val="rpo2"/>
    <w:rsid w:val="0094273C"/>
    <w:rPr>
      <w:rFonts w:ascii="Times New Roman" w:eastAsia="Times New Roman" w:hAnsi="Times New Roman" w:cs="Times New Roman"/>
      <w:b/>
      <w:sz w:val="24"/>
      <w:szCs w:val="24"/>
    </w:rPr>
  </w:style>
  <w:style w:type="character" w:customStyle="1" w:styleId="dddZnak">
    <w:name w:val="ddd Znak"/>
    <w:basedOn w:val="spis1Znak"/>
    <w:link w:val="ddd"/>
    <w:rsid w:val="0094273C"/>
    <w:rPr>
      <w:rFonts w:ascii="Times New Roman" w:eastAsia="Times New Roman" w:hAnsi="Times New Roman" w:cs="Times New Roman"/>
      <w:b/>
      <w:sz w:val="26"/>
      <w:szCs w:val="26"/>
    </w:rPr>
  </w:style>
</w:styles>
</file>

<file path=word/webSettings.xml><?xml version="1.0" encoding="utf-8"?>
<w:webSettings xmlns:r="http://schemas.openxmlformats.org/officeDocument/2006/relationships" xmlns:w="http://schemas.openxmlformats.org/wordprocessingml/2006/main">
  <w:divs>
    <w:div w:id="202448016">
      <w:bodyDiv w:val="1"/>
      <w:marLeft w:val="0"/>
      <w:marRight w:val="0"/>
      <w:marTop w:val="0"/>
      <w:marBottom w:val="0"/>
      <w:divBdr>
        <w:top w:val="none" w:sz="0" w:space="0" w:color="auto"/>
        <w:left w:val="none" w:sz="0" w:space="0" w:color="auto"/>
        <w:bottom w:val="none" w:sz="0" w:space="0" w:color="auto"/>
        <w:right w:val="none" w:sz="0" w:space="0" w:color="auto"/>
      </w:divBdr>
    </w:div>
    <w:div w:id="221068181">
      <w:bodyDiv w:val="1"/>
      <w:marLeft w:val="0"/>
      <w:marRight w:val="0"/>
      <w:marTop w:val="0"/>
      <w:marBottom w:val="0"/>
      <w:divBdr>
        <w:top w:val="none" w:sz="0" w:space="0" w:color="auto"/>
        <w:left w:val="none" w:sz="0" w:space="0" w:color="auto"/>
        <w:bottom w:val="none" w:sz="0" w:space="0" w:color="auto"/>
        <w:right w:val="none" w:sz="0" w:space="0" w:color="auto"/>
      </w:divBdr>
    </w:div>
    <w:div w:id="226232943">
      <w:bodyDiv w:val="1"/>
      <w:marLeft w:val="0"/>
      <w:marRight w:val="0"/>
      <w:marTop w:val="0"/>
      <w:marBottom w:val="0"/>
      <w:divBdr>
        <w:top w:val="none" w:sz="0" w:space="0" w:color="auto"/>
        <w:left w:val="none" w:sz="0" w:space="0" w:color="auto"/>
        <w:bottom w:val="none" w:sz="0" w:space="0" w:color="auto"/>
        <w:right w:val="none" w:sz="0" w:space="0" w:color="auto"/>
      </w:divBdr>
    </w:div>
    <w:div w:id="256451629">
      <w:bodyDiv w:val="1"/>
      <w:marLeft w:val="0"/>
      <w:marRight w:val="0"/>
      <w:marTop w:val="0"/>
      <w:marBottom w:val="0"/>
      <w:divBdr>
        <w:top w:val="none" w:sz="0" w:space="0" w:color="auto"/>
        <w:left w:val="none" w:sz="0" w:space="0" w:color="auto"/>
        <w:bottom w:val="none" w:sz="0" w:space="0" w:color="auto"/>
        <w:right w:val="none" w:sz="0" w:space="0" w:color="auto"/>
      </w:divBdr>
    </w:div>
    <w:div w:id="283586480">
      <w:bodyDiv w:val="1"/>
      <w:marLeft w:val="0"/>
      <w:marRight w:val="0"/>
      <w:marTop w:val="0"/>
      <w:marBottom w:val="0"/>
      <w:divBdr>
        <w:top w:val="none" w:sz="0" w:space="0" w:color="auto"/>
        <w:left w:val="none" w:sz="0" w:space="0" w:color="auto"/>
        <w:bottom w:val="none" w:sz="0" w:space="0" w:color="auto"/>
        <w:right w:val="none" w:sz="0" w:space="0" w:color="auto"/>
      </w:divBdr>
    </w:div>
    <w:div w:id="297229973">
      <w:bodyDiv w:val="1"/>
      <w:marLeft w:val="0"/>
      <w:marRight w:val="0"/>
      <w:marTop w:val="0"/>
      <w:marBottom w:val="0"/>
      <w:divBdr>
        <w:top w:val="none" w:sz="0" w:space="0" w:color="auto"/>
        <w:left w:val="none" w:sz="0" w:space="0" w:color="auto"/>
        <w:bottom w:val="none" w:sz="0" w:space="0" w:color="auto"/>
        <w:right w:val="none" w:sz="0" w:space="0" w:color="auto"/>
      </w:divBdr>
    </w:div>
    <w:div w:id="352658871">
      <w:bodyDiv w:val="1"/>
      <w:marLeft w:val="0"/>
      <w:marRight w:val="0"/>
      <w:marTop w:val="0"/>
      <w:marBottom w:val="0"/>
      <w:divBdr>
        <w:top w:val="none" w:sz="0" w:space="0" w:color="auto"/>
        <w:left w:val="none" w:sz="0" w:space="0" w:color="auto"/>
        <w:bottom w:val="none" w:sz="0" w:space="0" w:color="auto"/>
        <w:right w:val="none" w:sz="0" w:space="0" w:color="auto"/>
      </w:divBdr>
    </w:div>
    <w:div w:id="354425575">
      <w:bodyDiv w:val="1"/>
      <w:marLeft w:val="0"/>
      <w:marRight w:val="0"/>
      <w:marTop w:val="0"/>
      <w:marBottom w:val="0"/>
      <w:divBdr>
        <w:top w:val="none" w:sz="0" w:space="0" w:color="auto"/>
        <w:left w:val="none" w:sz="0" w:space="0" w:color="auto"/>
        <w:bottom w:val="none" w:sz="0" w:space="0" w:color="auto"/>
        <w:right w:val="none" w:sz="0" w:space="0" w:color="auto"/>
      </w:divBdr>
    </w:div>
    <w:div w:id="358817785">
      <w:bodyDiv w:val="1"/>
      <w:marLeft w:val="0"/>
      <w:marRight w:val="0"/>
      <w:marTop w:val="0"/>
      <w:marBottom w:val="0"/>
      <w:divBdr>
        <w:top w:val="none" w:sz="0" w:space="0" w:color="auto"/>
        <w:left w:val="none" w:sz="0" w:space="0" w:color="auto"/>
        <w:bottom w:val="none" w:sz="0" w:space="0" w:color="auto"/>
        <w:right w:val="none" w:sz="0" w:space="0" w:color="auto"/>
      </w:divBdr>
    </w:div>
    <w:div w:id="360016776">
      <w:bodyDiv w:val="1"/>
      <w:marLeft w:val="0"/>
      <w:marRight w:val="0"/>
      <w:marTop w:val="0"/>
      <w:marBottom w:val="0"/>
      <w:divBdr>
        <w:top w:val="none" w:sz="0" w:space="0" w:color="auto"/>
        <w:left w:val="none" w:sz="0" w:space="0" w:color="auto"/>
        <w:bottom w:val="none" w:sz="0" w:space="0" w:color="auto"/>
        <w:right w:val="none" w:sz="0" w:space="0" w:color="auto"/>
      </w:divBdr>
    </w:div>
    <w:div w:id="367147503">
      <w:bodyDiv w:val="1"/>
      <w:marLeft w:val="0"/>
      <w:marRight w:val="0"/>
      <w:marTop w:val="0"/>
      <w:marBottom w:val="0"/>
      <w:divBdr>
        <w:top w:val="none" w:sz="0" w:space="0" w:color="auto"/>
        <w:left w:val="none" w:sz="0" w:space="0" w:color="auto"/>
        <w:bottom w:val="none" w:sz="0" w:space="0" w:color="auto"/>
        <w:right w:val="none" w:sz="0" w:space="0" w:color="auto"/>
      </w:divBdr>
    </w:div>
    <w:div w:id="420371339">
      <w:bodyDiv w:val="1"/>
      <w:marLeft w:val="0"/>
      <w:marRight w:val="0"/>
      <w:marTop w:val="0"/>
      <w:marBottom w:val="0"/>
      <w:divBdr>
        <w:top w:val="none" w:sz="0" w:space="0" w:color="auto"/>
        <w:left w:val="none" w:sz="0" w:space="0" w:color="auto"/>
        <w:bottom w:val="none" w:sz="0" w:space="0" w:color="auto"/>
        <w:right w:val="none" w:sz="0" w:space="0" w:color="auto"/>
      </w:divBdr>
    </w:div>
    <w:div w:id="427189936">
      <w:bodyDiv w:val="1"/>
      <w:marLeft w:val="0"/>
      <w:marRight w:val="0"/>
      <w:marTop w:val="0"/>
      <w:marBottom w:val="0"/>
      <w:divBdr>
        <w:top w:val="none" w:sz="0" w:space="0" w:color="auto"/>
        <w:left w:val="none" w:sz="0" w:space="0" w:color="auto"/>
        <w:bottom w:val="none" w:sz="0" w:space="0" w:color="auto"/>
        <w:right w:val="none" w:sz="0" w:space="0" w:color="auto"/>
      </w:divBdr>
    </w:div>
    <w:div w:id="558321689">
      <w:bodyDiv w:val="1"/>
      <w:marLeft w:val="0"/>
      <w:marRight w:val="0"/>
      <w:marTop w:val="0"/>
      <w:marBottom w:val="0"/>
      <w:divBdr>
        <w:top w:val="none" w:sz="0" w:space="0" w:color="auto"/>
        <w:left w:val="none" w:sz="0" w:space="0" w:color="auto"/>
        <w:bottom w:val="none" w:sz="0" w:space="0" w:color="auto"/>
        <w:right w:val="none" w:sz="0" w:space="0" w:color="auto"/>
      </w:divBdr>
    </w:div>
    <w:div w:id="622542179">
      <w:bodyDiv w:val="1"/>
      <w:marLeft w:val="0"/>
      <w:marRight w:val="0"/>
      <w:marTop w:val="0"/>
      <w:marBottom w:val="0"/>
      <w:divBdr>
        <w:top w:val="none" w:sz="0" w:space="0" w:color="auto"/>
        <w:left w:val="none" w:sz="0" w:space="0" w:color="auto"/>
        <w:bottom w:val="none" w:sz="0" w:space="0" w:color="auto"/>
        <w:right w:val="none" w:sz="0" w:space="0" w:color="auto"/>
      </w:divBdr>
    </w:div>
    <w:div w:id="633759834">
      <w:bodyDiv w:val="1"/>
      <w:marLeft w:val="0"/>
      <w:marRight w:val="0"/>
      <w:marTop w:val="0"/>
      <w:marBottom w:val="0"/>
      <w:divBdr>
        <w:top w:val="none" w:sz="0" w:space="0" w:color="auto"/>
        <w:left w:val="none" w:sz="0" w:space="0" w:color="auto"/>
        <w:bottom w:val="none" w:sz="0" w:space="0" w:color="auto"/>
        <w:right w:val="none" w:sz="0" w:space="0" w:color="auto"/>
      </w:divBdr>
    </w:div>
    <w:div w:id="676468091">
      <w:bodyDiv w:val="1"/>
      <w:marLeft w:val="0"/>
      <w:marRight w:val="0"/>
      <w:marTop w:val="0"/>
      <w:marBottom w:val="0"/>
      <w:divBdr>
        <w:top w:val="none" w:sz="0" w:space="0" w:color="auto"/>
        <w:left w:val="none" w:sz="0" w:space="0" w:color="auto"/>
        <w:bottom w:val="none" w:sz="0" w:space="0" w:color="auto"/>
        <w:right w:val="none" w:sz="0" w:space="0" w:color="auto"/>
      </w:divBdr>
    </w:div>
    <w:div w:id="679622028">
      <w:bodyDiv w:val="1"/>
      <w:marLeft w:val="0"/>
      <w:marRight w:val="0"/>
      <w:marTop w:val="0"/>
      <w:marBottom w:val="0"/>
      <w:divBdr>
        <w:top w:val="none" w:sz="0" w:space="0" w:color="auto"/>
        <w:left w:val="none" w:sz="0" w:space="0" w:color="auto"/>
        <w:bottom w:val="none" w:sz="0" w:space="0" w:color="auto"/>
        <w:right w:val="none" w:sz="0" w:space="0" w:color="auto"/>
      </w:divBdr>
    </w:div>
    <w:div w:id="687024156">
      <w:bodyDiv w:val="1"/>
      <w:marLeft w:val="0"/>
      <w:marRight w:val="0"/>
      <w:marTop w:val="0"/>
      <w:marBottom w:val="0"/>
      <w:divBdr>
        <w:top w:val="none" w:sz="0" w:space="0" w:color="auto"/>
        <w:left w:val="none" w:sz="0" w:space="0" w:color="auto"/>
        <w:bottom w:val="none" w:sz="0" w:space="0" w:color="auto"/>
        <w:right w:val="none" w:sz="0" w:space="0" w:color="auto"/>
      </w:divBdr>
    </w:div>
    <w:div w:id="791049830">
      <w:bodyDiv w:val="1"/>
      <w:marLeft w:val="0"/>
      <w:marRight w:val="0"/>
      <w:marTop w:val="0"/>
      <w:marBottom w:val="0"/>
      <w:divBdr>
        <w:top w:val="none" w:sz="0" w:space="0" w:color="auto"/>
        <w:left w:val="none" w:sz="0" w:space="0" w:color="auto"/>
        <w:bottom w:val="none" w:sz="0" w:space="0" w:color="auto"/>
        <w:right w:val="none" w:sz="0" w:space="0" w:color="auto"/>
      </w:divBdr>
    </w:div>
    <w:div w:id="803890275">
      <w:bodyDiv w:val="1"/>
      <w:marLeft w:val="0"/>
      <w:marRight w:val="0"/>
      <w:marTop w:val="0"/>
      <w:marBottom w:val="0"/>
      <w:divBdr>
        <w:top w:val="none" w:sz="0" w:space="0" w:color="auto"/>
        <w:left w:val="none" w:sz="0" w:space="0" w:color="auto"/>
        <w:bottom w:val="none" w:sz="0" w:space="0" w:color="auto"/>
        <w:right w:val="none" w:sz="0" w:space="0" w:color="auto"/>
      </w:divBdr>
    </w:div>
    <w:div w:id="808669306">
      <w:bodyDiv w:val="1"/>
      <w:marLeft w:val="0"/>
      <w:marRight w:val="0"/>
      <w:marTop w:val="0"/>
      <w:marBottom w:val="0"/>
      <w:divBdr>
        <w:top w:val="none" w:sz="0" w:space="0" w:color="auto"/>
        <w:left w:val="none" w:sz="0" w:space="0" w:color="auto"/>
        <w:bottom w:val="none" w:sz="0" w:space="0" w:color="auto"/>
        <w:right w:val="none" w:sz="0" w:space="0" w:color="auto"/>
      </w:divBdr>
    </w:div>
    <w:div w:id="859705482">
      <w:bodyDiv w:val="1"/>
      <w:marLeft w:val="0"/>
      <w:marRight w:val="0"/>
      <w:marTop w:val="0"/>
      <w:marBottom w:val="0"/>
      <w:divBdr>
        <w:top w:val="none" w:sz="0" w:space="0" w:color="auto"/>
        <w:left w:val="none" w:sz="0" w:space="0" w:color="auto"/>
        <w:bottom w:val="none" w:sz="0" w:space="0" w:color="auto"/>
        <w:right w:val="none" w:sz="0" w:space="0" w:color="auto"/>
      </w:divBdr>
    </w:div>
    <w:div w:id="877358696">
      <w:bodyDiv w:val="1"/>
      <w:marLeft w:val="0"/>
      <w:marRight w:val="0"/>
      <w:marTop w:val="0"/>
      <w:marBottom w:val="0"/>
      <w:divBdr>
        <w:top w:val="none" w:sz="0" w:space="0" w:color="auto"/>
        <w:left w:val="none" w:sz="0" w:space="0" w:color="auto"/>
        <w:bottom w:val="none" w:sz="0" w:space="0" w:color="auto"/>
        <w:right w:val="none" w:sz="0" w:space="0" w:color="auto"/>
      </w:divBdr>
    </w:div>
    <w:div w:id="883059090">
      <w:bodyDiv w:val="1"/>
      <w:marLeft w:val="0"/>
      <w:marRight w:val="0"/>
      <w:marTop w:val="0"/>
      <w:marBottom w:val="0"/>
      <w:divBdr>
        <w:top w:val="none" w:sz="0" w:space="0" w:color="auto"/>
        <w:left w:val="none" w:sz="0" w:space="0" w:color="auto"/>
        <w:bottom w:val="none" w:sz="0" w:space="0" w:color="auto"/>
        <w:right w:val="none" w:sz="0" w:space="0" w:color="auto"/>
      </w:divBdr>
    </w:div>
    <w:div w:id="977219644">
      <w:bodyDiv w:val="1"/>
      <w:marLeft w:val="0"/>
      <w:marRight w:val="0"/>
      <w:marTop w:val="0"/>
      <w:marBottom w:val="0"/>
      <w:divBdr>
        <w:top w:val="none" w:sz="0" w:space="0" w:color="auto"/>
        <w:left w:val="none" w:sz="0" w:space="0" w:color="auto"/>
        <w:bottom w:val="none" w:sz="0" w:space="0" w:color="auto"/>
        <w:right w:val="none" w:sz="0" w:space="0" w:color="auto"/>
      </w:divBdr>
    </w:div>
    <w:div w:id="1002899597">
      <w:bodyDiv w:val="1"/>
      <w:marLeft w:val="0"/>
      <w:marRight w:val="0"/>
      <w:marTop w:val="0"/>
      <w:marBottom w:val="0"/>
      <w:divBdr>
        <w:top w:val="none" w:sz="0" w:space="0" w:color="auto"/>
        <w:left w:val="none" w:sz="0" w:space="0" w:color="auto"/>
        <w:bottom w:val="none" w:sz="0" w:space="0" w:color="auto"/>
        <w:right w:val="none" w:sz="0" w:space="0" w:color="auto"/>
      </w:divBdr>
    </w:div>
    <w:div w:id="1114835625">
      <w:bodyDiv w:val="1"/>
      <w:marLeft w:val="0"/>
      <w:marRight w:val="0"/>
      <w:marTop w:val="0"/>
      <w:marBottom w:val="0"/>
      <w:divBdr>
        <w:top w:val="none" w:sz="0" w:space="0" w:color="auto"/>
        <w:left w:val="none" w:sz="0" w:space="0" w:color="auto"/>
        <w:bottom w:val="none" w:sz="0" w:space="0" w:color="auto"/>
        <w:right w:val="none" w:sz="0" w:space="0" w:color="auto"/>
      </w:divBdr>
    </w:div>
    <w:div w:id="1200241387">
      <w:bodyDiv w:val="1"/>
      <w:marLeft w:val="0"/>
      <w:marRight w:val="0"/>
      <w:marTop w:val="0"/>
      <w:marBottom w:val="0"/>
      <w:divBdr>
        <w:top w:val="none" w:sz="0" w:space="0" w:color="auto"/>
        <w:left w:val="none" w:sz="0" w:space="0" w:color="auto"/>
        <w:bottom w:val="none" w:sz="0" w:space="0" w:color="auto"/>
        <w:right w:val="none" w:sz="0" w:space="0" w:color="auto"/>
      </w:divBdr>
    </w:div>
    <w:div w:id="1207569775">
      <w:bodyDiv w:val="1"/>
      <w:marLeft w:val="0"/>
      <w:marRight w:val="0"/>
      <w:marTop w:val="0"/>
      <w:marBottom w:val="0"/>
      <w:divBdr>
        <w:top w:val="none" w:sz="0" w:space="0" w:color="auto"/>
        <w:left w:val="none" w:sz="0" w:space="0" w:color="auto"/>
        <w:bottom w:val="none" w:sz="0" w:space="0" w:color="auto"/>
        <w:right w:val="none" w:sz="0" w:space="0" w:color="auto"/>
      </w:divBdr>
    </w:div>
    <w:div w:id="1210190950">
      <w:bodyDiv w:val="1"/>
      <w:marLeft w:val="0"/>
      <w:marRight w:val="0"/>
      <w:marTop w:val="0"/>
      <w:marBottom w:val="0"/>
      <w:divBdr>
        <w:top w:val="none" w:sz="0" w:space="0" w:color="auto"/>
        <w:left w:val="none" w:sz="0" w:space="0" w:color="auto"/>
        <w:bottom w:val="none" w:sz="0" w:space="0" w:color="auto"/>
        <w:right w:val="none" w:sz="0" w:space="0" w:color="auto"/>
      </w:divBdr>
    </w:div>
    <w:div w:id="1309433424">
      <w:bodyDiv w:val="1"/>
      <w:marLeft w:val="0"/>
      <w:marRight w:val="0"/>
      <w:marTop w:val="0"/>
      <w:marBottom w:val="0"/>
      <w:divBdr>
        <w:top w:val="none" w:sz="0" w:space="0" w:color="auto"/>
        <w:left w:val="none" w:sz="0" w:space="0" w:color="auto"/>
        <w:bottom w:val="none" w:sz="0" w:space="0" w:color="auto"/>
        <w:right w:val="none" w:sz="0" w:space="0" w:color="auto"/>
      </w:divBdr>
    </w:div>
    <w:div w:id="1326855392">
      <w:bodyDiv w:val="1"/>
      <w:marLeft w:val="0"/>
      <w:marRight w:val="0"/>
      <w:marTop w:val="0"/>
      <w:marBottom w:val="0"/>
      <w:divBdr>
        <w:top w:val="none" w:sz="0" w:space="0" w:color="auto"/>
        <w:left w:val="none" w:sz="0" w:space="0" w:color="auto"/>
        <w:bottom w:val="none" w:sz="0" w:space="0" w:color="auto"/>
        <w:right w:val="none" w:sz="0" w:space="0" w:color="auto"/>
      </w:divBdr>
    </w:div>
    <w:div w:id="1327711942">
      <w:bodyDiv w:val="1"/>
      <w:marLeft w:val="0"/>
      <w:marRight w:val="0"/>
      <w:marTop w:val="0"/>
      <w:marBottom w:val="0"/>
      <w:divBdr>
        <w:top w:val="none" w:sz="0" w:space="0" w:color="auto"/>
        <w:left w:val="none" w:sz="0" w:space="0" w:color="auto"/>
        <w:bottom w:val="none" w:sz="0" w:space="0" w:color="auto"/>
        <w:right w:val="none" w:sz="0" w:space="0" w:color="auto"/>
      </w:divBdr>
    </w:div>
    <w:div w:id="1334576080">
      <w:bodyDiv w:val="1"/>
      <w:marLeft w:val="0"/>
      <w:marRight w:val="0"/>
      <w:marTop w:val="0"/>
      <w:marBottom w:val="0"/>
      <w:divBdr>
        <w:top w:val="none" w:sz="0" w:space="0" w:color="auto"/>
        <w:left w:val="none" w:sz="0" w:space="0" w:color="auto"/>
        <w:bottom w:val="none" w:sz="0" w:space="0" w:color="auto"/>
        <w:right w:val="none" w:sz="0" w:space="0" w:color="auto"/>
      </w:divBdr>
    </w:div>
    <w:div w:id="1362048736">
      <w:bodyDiv w:val="1"/>
      <w:marLeft w:val="0"/>
      <w:marRight w:val="0"/>
      <w:marTop w:val="0"/>
      <w:marBottom w:val="0"/>
      <w:divBdr>
        <w:top w:val="none" w:sz="0" w:space="0" w:color="auto"/>
        <w:left w:val="none" w:sz="0" w:space="0" w:color="auto"/>
        <w:bottom w:val="none" w:sz="0" w:space="0" w:color="auto"/>
        <w:right w:val="none" w:sz="0" w:space="0" w:color="auto"/>
      </w:divBdr>
      <w:divsChild>
        <w:div w:id="396974912">
          <w:marLeft w:val="0"/>
          <w:marRight w:val="0"/>
          <w:marTop w:val="0"/>
          <w:marBottom w:val="0"/>
          <w:divBdr>
            <w:top w:val="none" w:sz="0" w:space="0" w:color="auto"/>
            <w:left w:val="none" w:sz="0" w:space="0" w:color="auto"/>
            <w:bottom w:val="none" w:sz="0" w:space="0" w:color="auto"/>
            <w:right w:val="none" w:sz="0" w:space="0" w:color="auto"/>
          </w:divBdr>
        </w:div>
        <w:div w:id="786194336">
          <w:marLeft w:val="0"/>
          <w:marRight w:val="0"/>
          <w:marTop w:val="0"/>
          <w:marBottom w:val="0"/>
          <w:divBdr>
            <w:top w:val="none" w:sz="0" w:space="0" w:color="auto"/>
            <w:left w:val="none" w:sz="0" w:space="0" w:color="auto"/>
            <w:bottom w:val="none" w:sz="0" w:space="0" w:color="auto"/>
            <w:right w:val="none" w:sz="0" w:space="0" w:color="auto"/>
          </w:divBdr>
        </w:div>
        <w:div w:id="818228304">
          <w:marLeft w:val="0"/>
          <w:marRight w:val="0"/>
          <w:marTop w:val="0"/>
          <w:marBottom w:val="0"/>
          <w:divBdr>
            <w:top w:val="none" w:sz="0" w:space="0" w:color="auto"/>
            <w:left w:val="none" w:sz="0" w:space="0" w:color="auto"/>
            <w:bottom w:val="none" w:sz="0" w:space="0" w:color="auto"/>
            <w:right w:val="none" w:sz="0" w:space="0" w:color="auto"/>
          </w:divBdr>
          <w:divsChild>
            <w:div w:id="677539525">
              <w:marLeft w:val="0"/>
              <w:marRight w:val="0"/>
              <w:marTop w:val="0"/>
              <w:marBottom w:val="0"/>
              <w:divBdr>
                <w:top w:val="none" w:sz="0" w:space="0" w:color="auto"/>
                <w:left w:val="none" w:sz="0" w:space="0" w:color="auto"/>
                <w:bottom w:val="none" w:sz="0" w:space="0" w:color="auto"/>
                <w:right w:val="none" w:sz="0" w:space="0" w:color="auto"/>
              </w:divBdr>
            </w:div>
          </w:divsChild>
        </w:div>
        <w:div w:id="1506549596">
          <w:marLeft w:val="0"/>
          <w:marRight w:val="0"/>
          <w:marTop w:val="0"/>
          <w:marBottom w:val="0"/>
          <w:divBdr>
            <w:top w:val="none" w:sz="0" w:space="0" w:color="auto"/>
            <w:left w:val="none" w:sz="0" w:space="0" w:color="auto"/>
            <w:bottom w:val="none" w:sz="0" w:space="0" w:color="auto"/>
            <w:right w:val="none" w:sz="0" w:space="0" w:color="auto"/>
          </w:divBdr>
          <w:divsChild>
            <w:div w:id="1851335231">
              <w:marLeft w:val="0"/>
              <w:marRight w:val="0"/>
              <w:marTop w:val="0"/>
              <w:marBottom w:val="0"/>
              <w:divBdr>
                <w:top w:val="none" w:sz="0" w:space="0" w:color="auto"/>
                <w:left w:val="none" w:sz="0" w:space="0" w:color="auto"/>
                <w:bottom w:val="none" w:sz="0" w:space="0" w:color="auto"/>
                <w:right w:val="none" w:sz="0" w:space="0" w:color="auto"/>
              </w:divBdr>
            </w:div>
          </w:divsChild>
        </w:div>
        <w:div w:id="1523712559">
          <w:marLeft w:val="0"/>
          <w:marRight w:val="0"/>
          <w:marTop w:val="0"/>
          <w:marBottom w:val="0"/>
          <w:divBdr>
            <w:top w:val="none" w:sz="0" w:space="0" w:color="auto"/>
            <w:left w:val="none" w:sz="0" w:space="0" w:color="auto"/>
            <w:bottom w:val="none" w:sz="0" w:space="0" w:color="auto"/>
            <w:right w:val="none" w:sz="0" w:space="0" w:color="auto"/>
          </w:divBdr>
        </w:div>
        <w:div w:id="2133360554">
          <w:marLeft w:val="0"/>
          <w:marRight w:val="0"/>
          <w:marTop w:val="0"/>
          <w:marBottom w:val="0"/>
          <w:divBdr>
            <w:top w:val="none" w:sz="0" w:space="0" w:color="auto"/>
            <w:left w:val="none" w:sz="0" w:space="0" w:color="auto"/>
            <w:bottom w:val="none" w:sz="0" w:space="0" w:color="auto"/>
            <w:right w:val="none" w:sz="0" w:space="0" w:color="auto"/>
          </w:divBdr>
        </w:div>
      </w:divsChild>
    </w:div>
    <w:div w:id="1371491780">
      <w:bodyDiv w:val="1"/>
      <w:marLeft w:val="0"/>
      <w:marRight w:val="0"/>
      <w:marTop w:val="0"/>
      <w:marBottom w:val="0"/>
      <w:divBdr>
        <w:top w:val="none" w:sz="0" w:space="0" w:color="auto"/>
        <w:left w:val="none" w:sz="0" w:space="0" w:color="auto"/>
        <w:bottom w:val="none" w:sz="0" w:space="0" w:color="auto"/>
        <w:right w:val="none" w:sz="0" w:space="0" w:color="auto"/>
      </w:divBdr>
    </w:div>
    <w:div w:id="1415662795">
      <w:bodyDiv w:val="1"/>
      <w:marLeft w:val="0"/>
      <w:marRight w:val="0"/>
      <w:marTop w:val="0"/>
      <w:marBottom w:val="0"/>
      <w:divBdr>
        <w:top w:val="none" w:sz="0" w:space="0" w:color="auto"/>
        <w:left w:val="none" w:sz="0" w:space="0" w:color="auto"/>
        <w:bottom w:val="none" w:sz="0" w:space="0" w:color="auto"/>
        <w:right w:val="none" w:sz="0" w:space="0" w:color="auto"/>
      </w:divBdr>
    </w:div>
    <w:div w:id="1460028254">
      <w:bodyDiv w:val="1"/>
      <w:marLeft w:val="0"/>
      <w:marRight w:val="0"/>
      <w:marTop w:val="0"/>
      <w:marBottom w:val="0"/>
      <w:divBdr>
        <w:top w:val="none" w:sz="0" w:space="0" w:color="auto"/>
        <w:left w:val="none" w:sz="0" w:space="0" w:color="auto"/>
        <w:bottom w:val="none" w:sz="0" w:space="0" w:color="auto"/>
        <w:right w:val="none" w:sz="0" w:space="0" w:color="auto"/>
      </w:divBdr>
    </w:div>
    <w:div w:id="1471098828">
      <w:bodyDiv w:val="1"/>
      <w:marLeft w:val="0"/>
      <w:marRight w:val="0"/>
      <w:marTop w:val="0"/>
      <w:marBottom w:val="0"/>
      <w:divBdr>
        <w:top w:val="none" w:sz="0" w:space="0" w:color="auto"/>
        <w:left w:val="none" w:sz="0" w:space="0" w:color="auto"/>
        <w:bottom w:val="none" w:sz="0" w:space="0" w:color="auto"/>
        <w:right w:val="none" w:sz="0" w:space="0" w:color="auto"/>
      </w:divBdr>
    </w:div>
    <w:div w:id="1473594661">
      <w:bodyDiv w:val="1"/>
      <w:marLeft w:val="0"/>
      <w:marRight w:val="0"/>
      <w:marTop w:val="0"/>
      <w:marBottom w:val="0"/>
      <w:divBdr>
        <w:top w:val="none" w:sz="0" w:space="0" w:color="auto"/>
        <w:left w:val="none" w:sz="0" w:space="0" w:color="auto"/>
        <w:bottom w:val="none" w:sz="0" w:space="0" w:color="auto"/>
        <w:right w:val="none" w:sz="0" w:space="0" w:color="auto"/>
      </w:divBdr>
    </w:div>
    <w:div w:id="1489638225">
      <w:bodyDiv w:val="1"/>
      <w:marLeft w:val="0"/>
      <w:marRight w:val="0"/>
      <w:marTop w:val="0"/>
      <w:marBottom w:val="0"/>
      <w:divBdr>
        <w:top w:val="none" w:sz="0" w:space="0" w:color="auto"/>
        <w:left w:val="none" w:sz="0" w:space="0" w:color="auto"/>
        <w:bottom w:val="none" w:sz="0" w:space="0" w:color="auto"/>
        <w:right w:val="none" w:sz="0" w:space="0" w:color="auto"/>
      </w:divBdr>
    </w:div>
    <w:div w:id="1555582691">
      <w:bodyDiv w:val="1"/>
      <w:marLeft w:val="0"/>
      <w:marRight w:val="0"/>
      <w:marTop w:val="0"/>
      <w:marBottom w:val="0"/>
      <w:divBdr>
        <w:top w:val="none" w:sz="0" w:space="0" w:color="auto"/>
        <w:left w:val="none" w:sz="0" w:space="0" w:color="auto"/>
        <w:bottom w:val="none" w:sz="0" w:space="0" w:color="auto"/>
        <w:right w:val="none" w:sz="0" w:space="0" w:color="auto"/>
      </w:divBdr>
    </w:div>
    <w:div w:id="1573999187">
      <w:bodyDiv w:val="1"/>
      <w:marLeft w:val="0"/>
      <w:marRight w:val="0"/>
      <w:marTop w:val="0"/>
      <w:marBottom w:val="0"/>
      <w:divBdr>
        <w:top w:val="none" w:sz="0" w:space="0" w:color="auto"/>
        <w:left w:val="none" w:sz="0" w:space="0" w:color="auto"/>
        <w:bottom w:val="none" w:sz="0" w:space="0" w:color="auto"/>
        <w:right w:val="none" w:sz="0" w:space="0" w:color="auto"/>
      </w:divBdr>
    </w:div>
    <w:div w:id="1616786160">
      <w:bodyDiv w:val="1"/>
      <w:marLeft w:val="0"/>
      <w:marRight w:val="0"/>
      <w:marTop w:val="0"/>
      <w:marBottom w:val="0"/>
      <w:divBdr>
        <w:top w:val="none" w:sz="0" w:space="0" w:color="auto"/>
        <w:left w:val="none" w:sz="0" w:space="0" w:color="auto"/>
        <w:bottom w:val="none" w:sz="0" w:space="0" w:color="auto"/>
        <w:right w:val="none" w:sz="0" w:space="0" w:color="auto"/>
      </w:divBdr>
    </w:div>
    <w:div w:id="1634016600">
      <w:bodyDiv w:val="1"/>
      <w:marLeft w:val="0"/>
      <w:marRight w:val="0"/>
      <w:marTop w:val="0"/>
      <w:marBottom w:val="0"/>
      <w:divBdr>
        <w:top w:val="none" w:sz="0" w:space="0" w:color="auto"/>
        <w:left w:val="none" w:sz="0" w:space="0" w:color="auto"/>
        <w:bottom w:val="none" w:sz="0" w:space="0" w:color="auto"/>
        <w:right w:val="none" w:sz="0" w:space="0" w:color="auto"/>
      </w:divBdr>
    </w:div>
    <w:div w:id="1652561421">
      <w:bodyDiv w:val="1"/>
      <w:marLeft w:val="0"/>
      <w:marRight w:val="0"/>
      <w:marTop w:val="0"/>
      <w:marBottom w:val="0"/>
      <w:divBdr>
        <w:top w:val="none" w:sz="0" w:space="0" w:color="auto"/>
        <w:left w:val="none" w:sz="0" w:space="0" w:color="auto"/>
        <w:bottom w:val="none" w:sz="0" w:space="0" w:color="auto"/>
        <w:right w:val="none" w:sz="0" w:space="0" w:color="auto"/>
      </w:divBdr>
    </w:div>
    <w:div w:id="1777023173">
      <w:bodyDiv w:val="1"/>
      <w:marLeft w:val="0"/>
      <w:marRight w:val="0"/>
      <w:marTop w:val="0"/>
      <w:marBottom w:val="0"/>
      <w:divBdr>
        <w:top w:val="none" w:sz="0" w:space="0" w:color="auto"/>
        <w:left w:val="none" w:sz="0" w:space="0" w:color="auto"/>
        <w:bottom w:val="none" w:sz="0" w:space="0" w:color="auto"/>
        <w:right w:val="none" w:sz="0" w:space="0" w:color="auto"/>
      </w:divBdr>
      <w:divsChild>
        <w:div w:id="1597667343">
          <w:marLeft w:val="547"/>
          <w:marRight w:val="0"/>
          <w:marTop w:val="0"/>
          <w:marBottom w:val="0"/>
          <w:divBdr>
            <w:top w:val="none" w:sz="0" w:space="0" w:color="auto"/>
            <w:left w:val="none" w:sz="0" w:space="0" w:color="auto"/>
            <w:bottom w:val="none" w:sz="0" w:space="0" w:color="auto"/>
            <w:right w:val="none" w:sz="0" w:space="0" w:color="auto"/>
          </w:divBdr>
        </w:div>
        <w:div w:id="621812073">
          <w:marLeft w:val="547"/>
          <w:marRight w:val="0"/>
          <w:marTop w:val="0"/>
          <w:marBottom w:val="0"/>
          <w:divBdr>
            <w:top w:val="none" w:sz="0" w:space="0" w:color="auto"/>
            <w:left w:val="none" w:sz="0" w:space="0" w:color="auto"/>
            <w:bottom w:val="none" w:sz="0" w:space="0" w:color="auto"/>
            <w:right w:val="none" w:sz="0" w:space="0" w:color="auto"/>
          </w:divBdr>
        </w:div>
      </w:divsChild>
    </w:div>
    <w:div w:id="1851672739">
      <w:bodyDiv w:val="1"/>
      <w:marLeft w:val="0"/>
      <w:marRight w:val="0"/>
      <w:marTop w:val="0"/>
      <w:marBottom w:val="0"/>
      <w:divBdr>
        <w:top w:val="none" w:sz="0" w:space="0" w:color="auto"/>
        <w:left w:val="none" w:sz="0" w:space="0" w:color="auto"/>
        <w:bottom w:val="none" w:sz="0" w:space="0" w:color="auto"/>
        <w:right w:val="none" w:sz="0" w:space="0" w:color="auto"/>
      </w:divBdr>
    </w:div>
    <w:div w:id="1866870028">
      <w:bodyDiv w:val="1"/>
      <w:marLeft w:val="0"/>
      <w:marRight w:val="0"/>
      <w:marTop w:val="0"/>
      <w:marBottom w:val="0"/>
      <w:divBdr>
        <w:top w:val="none" w:sz="0" w:space="0" w:color="auto"/>
        <w:left w:val="none" w:sz="0" w:space="0" w:color="auto"/>
        <w:bottom w:val="none" w:sz="0" w:space="0" w:color="auto"/>
        <w:right w:val="none" w:sz="0" w:space="0" w:color="auto"/>
      </w:divBdr>
    </w:div>
    <w:div w:id="1888056957">
      <w:bodyDiv w:val="1"/>
      <w:marLeft w:val="0"/>
      <w:marRight w:val="0"/>
      <w:marTop w:val="0"/>
      <w:marBottom w:val="0"/>
      <w:divBdr>
        <w:top w:val="none" w:sz="0" w:space="0" w:color="auto"/>
        <w:left w:val="none" w:sz="0" w:space="0" w:color="auto"/>
        <w:bottom w:val="none" w:sz="0" w:space="0" w:color="auto"/>
        <w:right w:val="none" w:sz="0" w:space="0" w:color="auto"/>
      </w:divBdr>
    </w:div>
    <w:div w:id="1927686744">
      <w:bodyDiv w:val="1"/>
      <w:marLeft w:val="0"/>
      <w:marRight w:val="0"/>
      <w:marTop w:val="0"/>
      <w:marBottom w:val="0"/>
      <w:divBdr>
        <w:top w:val="none" w:sz="0" w:space="0" w:color="auto"/>
        <w:left w:val="none" w:sz="0" w:space="0" w:color="auto"/>
        <w:bottom w:val="none" w:sz="0" w:space="0" w:color="auto"/>
        <w:right w:val="none" w:sz="0" w:space="0" w:color="auto"/>
      </w:divBdr>
    </w:div>
    <w:div w:id="2002803989">
      <w:bodyDiv w:val="1"/>
      <w:marLeft w:val="0"/>
      <w:marRight w:val="0"/>
      <w:marTop w:val="0"/>
      <w:marBottom w:val="0"/>
      <w:divBdr>
        <w:top w:val="none" w:sz="0" w:space="0" w:color="auto"/>
        <w:left w:val="none" w:sz="0" w:space="0" w:color="auto"/>
        <w:bottom w:val="none" w:sz="0" w:space="0" w:color="auto"/>
        <w:right w:val="none" w:sz="0" w:space="0" w:color="auto"/>
      </w:divBdr>
    </w:div>
    <w:div w:id="2005891901">
      <w:bodyDiv w:val="1"/>
      <w:marLeft w:val="0"/>
      <w:marRight w:val="0"/>
      <w:marTop w:val="0"/>
      <w:marBottom w:val="0"/>
      <w:divBdr>
        <w:top w:val="none" w:sz="0" w:space="0" w:color="auto"/>
        <w:left w:val="none" w:sz="0" w:space="0" w:color="auto"/>
        <w:bottom w:val="none" w:sz="0" w:space="0" w:color="auto"/>
        <w:right w:val="none" w:sz="0" w:space="0" w:color="auto"/>
      </w:divBdr>
    </w:div>
    <w:div w:id="2029140634">
      <w:bodyDiv w:val="1"/>
      <w:marLeft w:val="0"/>
      <w:marRight w:val="0"/>
      <w:marTop w:val="0"/>
      <w:marBottom w:val="0"/>
      <w:divBdr>
        <w:top w:val="none" w:sz="0" w:space="0" w:color="auto"/>
        <w:left w:val="none" w:sz="0" w:space="0" w:color="auto"/>
        <w:bottom w:val="none" w:sz="0" w:space="0" w:color="auto"/>
        <w:right w:val="none" w:sz="0" w:space="0" w:color="auto"/>
      </w:divBdr>
    </w:div>
    <w:div w:id="2034070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www.ibs.org.pl" TargetMode="External"/><Relationship Id="rId26" Type="http://schemas.openxmlformats.org/officeDocument/2006/relationships/diagramLayout" Target="diagrams/layout2.xml"/><Relationship Id="rId39" Type="http://schemas.openxmlformats.org/officeDocument/2006/relationships/image" Target="media/image15.png"/><Relationship Id="rId21" Type="http://schemas.openxmlformats.org/officeDocument/2006/relationships/diagramLayout" Target="diagrams/layout1.xm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header" Target="header2.xml"/><Relationship Id="rId63" Type="http://schemas.openxmlformats.org/officeDocument/2006/relationships/image" Target="media/image37.png"/><Relationship Id="rId68" Type="http://schemas.openxmlformats.org/officeDocument/2006/relationships/footer" Target="footer3.xml"/><Relationship Id="rId7" Type="http://schemas.openxmlformats.org/officeDocument/2006/relationships/numbering" Target="numbering.xml"/><Relationship Id="rId71" Type="http://schemas.openxmlformats.org/officeDocument/2006/relationships/image" Target="media/image42.jpeg"/><Relationship Id="rId2" Type="http://schemas.openxmlformats.org/officeDocument/2006/relationships/customXml" Target="../customXml/item2.xml"/><Relationship Id="rId16" Type="http://schemas.openxmlformats.org/officeDocument/2006/relationships/header" Target="header1.xml"/><Relationship Id="rId29" Type="http://schemas.microsoft.com/office/2007/relationships/diagramDrawing" Target="diagrams/drawing2.xml"/><Relationship Id="rId11" Type="http://schemas.openxmlformats.org/officeDocument/2006/relationships/footnotes" Target="footnotes.xml"/><Relationship Id="rId24" Type="http://schemas.microsoft.com/office/2007/relationships/diagramDrawing" Target="diagrams/drawing1.xm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emf"/><Relationship Id="rId58" Type="http://schemas.openxmlformats.org/officeDocument/2006/relationships/image" Target="media/image32.png"/><Relationship Id="rId66" Type="http://schemas.openxmlformats.org/officeDocument/2006/relationships/image" Target="media/image39.png"/><Relationship Id="rId7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diagramColors" Target="diagrams/colors1.xml"/><Relationship Id="rId28" Type="http://schemas.openxmlformats.org/officeDocument/2006/relationships/diagramColors" Target="diagrams/colors2.xml"/><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image" Target="media/image31.png"/><Relationship Id="rId61" Type="http://schemas.openxmlformats.org/officeDocument/2006/relationships/image" Target="media/image35.pn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4.png"/><Relationship Id="rId65" Type="http://schemas.openxmlformats.org/officeDocument/2006/relationships/footer" Target="footer2.xml"/><Relationship Id="rId73"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diagramQuickStyle" Target="diagrams/quickStyle1.xml"/><Relationship Id="rId27" Type="http://schemas.openxmlformats.org/officeDocument/2006/relationships/diagramQuickStyle" Target="diagrams/quickStyle2.xml"/><Relationship Id="rId30" Type="http://schemas.openxmlformats.org/officeDocument/2006/relationships/image" Target="media/image6.emf"/><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footer" Target="footer1.xml"/><Relationship Id="rId64" Type="http://schemas.openxmlformats.org/officeDocument/2006/relationships/image" Target="media/image38.png"/><Relationship Id="rId69" Type="http://schemas.openxmlformats.org/officeDocument/2006/relationships/footer" Target="footer4.xml"/><Relationship Id="rId8" Type="http://schemas.openxmlformats.org/officeDocument/2006/relationships/styles" Target="styles.xml"/><Relationship Id="rId51" Type="http://schemas.openxmlformats.org/officeDocument/2006/relationships/image" Target="media/image27.png"/><Relationship Id="rId72" Type="http://schemas.openxmlformats.org/officeDocument/2006/relationships/image" Target="media/image43.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mailto:ibs@ibs.org.pl" TargetMode="External"/><Relationship Id="rId25" Type="http://schemas.openxmlformats.org/officeDocument/2006/relationships/diagramData" Target="diagrams/data2.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image" Target="media/image22.png"/><Relationship Id="rId59" Type="http://schemas.openxmlformats.org/officeDocument/2006/relationships/image" Target="media/image33.png"/><Relationship Id="rId67" Type="http://schemas.openxmlformats.org/officeDocument/2006/relationships/image" Target="media/image40.png"/><Relationship Id="rId20" Type="http://schemas.openxmlformats.org/officeDocument/2006/relationships/diagramData" Target="diagrams/data1.xml"/><Relationship Id="rId41" Type="http://schemas.openxmlformats.org/officeDocument/2006/relationships/image" Target="media/image17.png"/><Relationship Id="rId54" Type="http://schemas.openxmlformats.org/officeDocument/2006/relationships/image" Target="media/image30.emf"/><Relationship Id="rId62" Type="http://schemas.openxmlformats.org/officeDocument/2006/relationships/image" Target="media/image36.png"/><Relationship Id="rId70" Type="http://schemas.openxmlformats.org/officeDocument/2006/relationships/image" Target="media/image41.jpe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s>
</file>

<file path=word/_rels/footnotes.xml.rels><?xml version="1.0" encoding="UTF-8" standalone="yes"?>
<Relationships xmlns="http://schemas.openxmlformats.org/package/2006/relationships"><Relationship Id="rId1" Type="http://schemas.openxmlformats.org/officeDocument/2006/relationships/hyperlink" Target="http://europa.eu/rapid/press-release_IP-11-109_pl.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gi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gif"/></Relationships>
</file>

<file path=word/_rels/settings.xml.rels><?xml version="1.0" encoding="UTF-8" standalone="yes"?>
<Relationships xmlns="http://schemas.openxmlformats.org/package/2006/relationships"><Relationship Id="rId1" Type="http://schemas.openxmlformats.org/officeDocument/2006/relationships/attachedTemplate" Target="file:///D:\Dropbox\IBS__CD\szablony\szablon_oferta_IBS_2.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FD75C5-1199-41ED-85FB-75B1FDB42EF7}" type="doc">
      <dgm:prSet loTypeId="urn:microsoft.com/office/officeart/2005/8/layout/process1" loCatId="process" qsTypeId="urn:microsoft.com/office/officeart/2005/8/quickstyle/simple1" qsCatId="simple" csTypeId="urn:microsoft.com/office/officeart/2005/8/colors/accent1_2" csCatId="accent1" phldr="1"/>
      <dgm:spPr/>
    </dgm:pt>
    <dgm:pt modelId="{BFF44B87-6F19-46DD-9EEE-E13F3BD9A28D}">
      <dgm:prSet phldrT="[Tekst]" custT="1"/>
      <dgm:spPr/>
      <dgm:t>
        <a:bodyPr/>
        <a:lstStyle/>
        <a:p>
          <a:r>
            <a:rPr lang="pl-PL" sz="1000" b="1"/>
            <a:t>Moduł 0</a:t>
          </a:r>
        </a:p>
      </dgm:t>
    </dgm:pt>
    <dgm:pt modelId="{E212F160-D70A-464F-8A2F-6F5A73F5F211}" type="parTrans" cxnId="{25EF004B-5027-4EC0-8F87-B3F8FBA24D0C}">
      <dgm:prSet/>
      <dgm:spPr/>
      <dgm:t>
        <a:bodyPr/>
        <a:lstStyle/>
        <a:p>
          <a:endParaRPr lang="pl-PL" sz="1000"/>
        </a:p>
      </dgm:t>
    </dgm:pt>
    <dgm:pt modelId="{302112AF-7C02-4CB2-A705-B434F3B645A3}" type="sibTrans" cxnId="{25EF004B-5027-4EC0-8F87-B3F8FBA24D0C}">
      <dgm:prSet custT="1"/>
      <dgm:spPr/>
      <dgm:t>
        <a:bodyPr/>
        <a:lstStyle/>
        <a:p>
          <a:endParaRPr lang="pl-PL" sz="1000"/>
        </a:p>
      </dgm:t>
    </dgm:pt>
    <dgm:pt modelId="{CF90F2BF-6191-4356-A9A3-3B86A57FA437}">
      <dgm:prSet phldrT="[Tekst]" custT="1"/>
      <dgm:spPr/>
      <dgm:t>
        <a:bodyPr/>
        <a:lstStyle/>
        <a:p>
          <a:r>
            <a:rPr lang="pl-PL" sz="1000" b="1"/>
            <a:t>Moduł I</a:t>
          </a:r>
        </a:p>
      </dgm:t>
    </dgm:pt>
    <dgm:pt modelId="{F3FAF9CD-E3CC-4C7C-824C-6982E24AE422}" type="parTrans" cxnId="{549E02A0-8E12-4C03-9BBE-5F0160EA63E3}">
      <dgm:prSet/>
      <dgm:spPr/>
      <dgm:t>
        <a:bodyPr/>
        <a:lstStyle/>
        <a:p>
          <a:endParaRPr lang="pl-PL" sz="1000"/>
        </a:p>
      </dgm:t>
    </dgm:pt>
    <dgm:pt modelId="{F251FE37-0C4D-44BD-84C7-8DB182910166}" type="sibTrans" cxnId="{549E02A0-8E12-4C03-9BBE-5F0160EA63E3}">
      <dgm:prSet custT="1"/>
      <dgm:spPr/>
      <dgm:t>
        <a:bodyPr/>
        <a:lstStyle/>
        <a:p>
          <a:endParaRPr lang="pl-PL" sz="1000"/>
        </a:p>
      </dgm:t>
    </dgm:pt>
    <dgm:pt modelId="{F7E34F9A-06E9-4CEE-BBEB-AF570B8ECA41}">
      <dgm:prSet phldrT="[Tekst]" custT="1"/>
      <dgm:spPr/>
      <dgm:t>
        <a:bodyPr/>
        <a:lstStyle/>
        <a:p>
          <a:r>
            <a:rPr lang="pl-PL" sz="1000" b="1"/>
            <a:t>Moduł II</a:t>
          </a:r>
        </a:p>
      </dgm:t>
    </dgm:pt>
    <dgm:pt modelId="{AE5A6A00-E084-4E14-AB5C-E648DA24A655}" type="parTrans" cxnId="{18E03C52-AAE9-4A7B-A3AD-83C43F94B5A5}">
      <dgm:prSet/>
      <dgm:spPr/>
      <dgm:t>
        <a:bodyPr/>
        <a:lstStyle/>
        <a:p>
          <a:endParaRPr lang="pl-PL" sz="1000"/>
        </a:p>
      </dgm:t>
    </dgm:pt>
    <dgm:pt modelId="{17EBC638-F1CD-4523-918B-C7A6FF0016B2}" type="sibTrans" cxnId="{18E03C52-AAE9-4A7B-A3AD-83C43F94B5A5}">
      <dgm:prSet custT="1"/>
      <dgm:spPr/>
      <dgm:t>
        <a:bodyPr/>
        <a:lstStyle/>
        <a:p>
          <a:endParaRPr lang="pl-PL" sz="1000"/>
        </a:p>
      </dgm:t>
    </dgm:pt>
    <dgm:pt modelId="{49CECD42-7B2A-4F1E-8E77-DCB2E6BC642C}">
      <dgm:prSet phldrT="[Tekst]" custT="1"/>
      <dgm:spPr/>
      <dgm:t>
        <a:bodyPr/>
        <a:lstStyle/>
        <a:p>
          <a:r>
            <a:rPr lang="pl-PL" sz="1000" b="1"/>
            <a:t>Moduł III</a:t>
          </a:r>
        </a:p>
      </dgm:t>
    </dgm:pt>
    <dgm:pt modelId="{D3E39B92-21BE-4D6D-AA7E-CA76CA8FA764}" type="parTrans" cxnId="{595FFCBD-B30B-420F-90FE-5B606E52E7F4}">
      <dgm:prSet/>
      <dgm:spPr/>
      <dgm:t>
        <a:bodyPr/>
        <a:lstStyle/>
        <a:p>
          <a:endParaRPr lang="pl-PL" sz="1000"/>
        </a:p>
      </dgm:t>
    </dgm:pt>
    <dgm:pt modelId="{62827B7E-AB3B-4B38-8CAA-182E32AD3A7E}" type="sibTrans" cxnId="{595FFCBD-B30B-420F-90FE-5B606E52E7F4}">
      <dgm:prSet custT="1"/>
      <dgm:spPr/>
      <dgm:t>
        <a:bodyPr/>
        <a:lstStyle/>
        <a:p>
          <a:endParaRPr lang="pl-PL" sz="1000"/>
        </a:p>
      </dgm:t>
    </dgm:pt>
    <dgm:pt modelId="{D52E7E19-7022-4FB8-B524-EAA2320A7E2E}">
      <dgm:prSet phldrT="[Tekst]" custT="1"/>
      <dgm:spPr/>
      <dgm:t>
        <a:bodyPr/>
        <a:lstStyle/>
        <a:p>
          <a:r>
            <a:rPr lang="pl-PL" sz="1000" b="1"/>
            <a:t>Moduł IV</a:t>
          </a:r>
        </a:p>
      </dgm:t>
    </dgm:pt>
    <dgm:pt modelId="{B2B46097-F6CA-4B76-8C5E-235FDE0E9DC4}" type="parTrans" cxnId="{8BBC7177-D18F-42CA-A7DC-8DD1E225C7C1}">
      <dgm:prSet/>
      <dgm:spPr/>
      <dgm:t>
        <a:bodyPr/>
        <a:lstStyle/>
        <a:p>
          <a:endParaRPr lang="pl-PL" sz="1000"/>
        </a:p>
      </dgm:t>
    </dgm:pt>
    <dgm:pt modelId="{8DCE1F1E-E3FC-45C7-998D-5CA5875C95A7}" type="sibTrans" cxnId="{8BBC7177-D18F-42CA-A7DC-8DD1E225C7C1}">
      <dgm:prSet/>
      <dgm:spPr/>
      <dgm:t>
        <a:bodyPr/>
        <a:lstStyle/>
        <a:p>
          <a:endParaRPr lang="pl-PL" sz="1000"/>
        </a:p>
      </dgm:t>
    </dgm:pt>
    <dgm:pt modelId="{73CCE140-3375-4A08-BC48-0525E29B7766}" type="pres">
      <dgm:prSet presAssocID="{ADFD75C5-1199-41ED-85FB-75B1FDB42EF7}" presName="Name0" presStyleCnt="0">
        <dgm:presLayoutVars>
          <dgm:dir/>
          <dgm:resizeHandles val="exact"/>
        </dgm:presLayoutVars>
      </dgm:prSet>
      <dgm:spPr/>
    </dgm:pt>
    <dgm:pt modelId="{D7B5F92E-EEF9-4366-B4B8-505839A2E53A}" type="pres">
      <dgm:prSet presAssocID="{BFF44B87-6F19-46DD-9EEE-E13F3BD9A28D}" presName="node" presStyleLbl="node1" presStyleIdx="0" presStyleCnt="5" custScaleX="304762">
        <dgm:presLayoutVars>
          <dgm:bulletEnabled val="1"/>
        </dgm:presLayoutVars>
      </dgm:prSet>
      <dgm:spPr/>
      <dgm:t>
        <a:bodyPr/>
        <a:lstStyle/>
        <a:p>
          <a:endParaRPr lang="pl-PL"/>
        </a:p>
      </dgm:t>
    </dgm:pt>
    <dgm:pt modelId="{026D321D-A266-4AB7-9438-A6EEC13B6099}" type="pres">
      <dgm:prSet presAssocID="{302112AF-7C02-4CB2-A705-B434F3B645A3}" presName="sibTrans" presStyleLbl="sibTrans2D1" presStyleIdx="0" presStyleCnt="4"/>
      <dgm:spPr/>
      <dgm:t>
        <a:bodyPr/>
        <a:lstStyle/>
        <a:p>
          <a:endParaRPr lang="pl-PL"/>
        </a:p>
      </dgm:t>
    </dgm:pt>
    <dgm:pt modelId="{3654ECA5-F8AF-4DD7-B9FB-5EB8A7549F33}" type="pres">
      <dgm:prSet presAssocID="{302112AF-7C02-4CB2-A705-B434F3B645A3}" presName="connectorText" presStyleLbl="sibTrans2D1" presStyleIdx="0" presStyleCnt="4"/>
      <dgm:spPr/>
      <dgm:t>
        <a:bodyPr/>
        <a:lstStyle/>
        <a:p>
          <a:endParaRPr lang="pl-PL"/>
        </a:p>
      </dgm:t>
    </dgm:pt>
    <dgm:pt modelId="{4E858739-39F2-431B-A4DB-E3CAF79593AC}" type="pres">
      <dgm:prSet presAssocID="{CF90F2BF-6191-4356-A9A3-3B86A57FA437}" presName="node" presStyleLbl="node1" presStyleIdx="1" presStyleCnt="5" custScaleX="304762">
        <dgm:presLayoutVars>
          <dgm:bulletEnabled val="1"/>
        </dgm:presLayoutVars>
      </dgm:prSet>
      <dgm:spPr/>
      <dgm:t>
        <a:bodyPr/>
        <a:lstStyle/>
        <a:p>
          <a:endParaRPr lang="pl-PL"/>
        </a:p>
      </dgm:t>
    </dgm:pt>
    <dgm:pt modelId="{293FBD5D-7190-4C05-92C4-45CCA5528FFD}" type="pres">
      <dgm:prSet presAssocID="{F251FE37-0C4D-44BD-84C7-8DB182910166}" presName="sibTrans" presStyleLbl="sibTrans2D1" presStyleIdx="1" presStyleCnt="4"/>
      <dgm:spPr/>
      <dgm:t>
        <a:bodyPr/>
        <a:lstStyle/>
        <a:p>
          <a:endParaRPr lang="pl-PL"/>
        </a:p>
      </dgm:t>
    </dgm:pt>
    <dgm:pt modelId="{57117116-3E52-4D66-8517-722B303F7183}" type="pres">
      <dgm:prSet presAssocID="{F251FE37-0C4D-44BD-84C7-8DB182910166}" presName="connectorText" presStyleLbl="sibTrans2D1" presStyleIdx="1" presStyleCnt="4"/>
      <dgm:spPr/>
      <dgm:t>
        <a:bodyPr/>
        <a:lstStyle/>
        <a:p>
          <a:endParaRPr lang="pl-PL"/>
        </a:p>
      </dgm:t>
    </dgm:pt>
    <dgm:pt modelId="{764362B9-3FDB-4F51-B07E-1200268834C7}" type="pres">
      <dgm:prSet presAssocID="{F7E34F9A-06E9-4CEE-BBEB-AF570B8ECA41}" presName="node" presStyleLbl="node1" presStyleIdx="2" presStyleCnt="5" custScaleX="304762">
        <dgm:presLayoutVars>
          <dgm:bulletEnabled val="1"/>
        </dgm:presLayoutVars>
      </dgm:prSet>
      <dgm:spPr/>
      <dgm:t>
        <a:bodyPr/>
        <a:lstStyle/>
        <a:p>
          <a:endParaRPr lang="pl-PL"/>
        </a:p>
      </dgm:t>
    </dgm:pt>
    <dgm:pt modelId="{14D2F820-EE6B-4F70-8B44-A6F8BE091894}" type="pres">
      <dgm:prSet presAssocID="{17EBC638-F1CD-4523-918B-C7A6FF0016B2}" presName="sibTrans" presStyleLbl="sibTrans2D1" presStyleIdx="2" presStyleCnt="4"/>
      <dgm:spPr/>
      <dgm:t>
        <a:bodyPr/>
        <a:lstStyle/>
        <a:p>
          <a:endParaRPr lang="pl-PL"/>
        </a:p>
      </dgm:t>
    </dgm:pt>
    <dgm:pt modelId="{72BE93E3-04C0-4206-81A2-590EFA2D604A}" type="pres">
      <dgm:prSet presAssocID="{17EBC638-F1CD-4523-918B-C7A6FF0016B2}" presName="connectorText" presStyleLbl="sibTrans2D1" presStyleIdx="2" presStyleCnt="4"/>
      <dgm:spPr/>
      <dgm:t>
        <a:bodyPr/>
        <a:lstStyle/>
        <a:p>
          <a:endParaRPr lang="pl-PL"/>
        </a:p>
      </dgm:t>
    </dgm:pt>
    <dgm:pt modelId="{243B36E6-4497-438F-A371-7AE1609B9F78}" type="pres">
      <dgm:prSet presAssocID="{49CECD42-7B2A-4F1E-8E77-DCB2E6BC642C}" presName="node" presStyleLbl="node1" presStyleIdx="3" presStyleCnt="5" custScaleX="304762">
        <dgm:presLayoutVars>
          <dgm:bulletEnabled val="1"/>
        </dgm:presLayoutVars>
      </dgm:prSet>
      <dgm:spPr/>
      <dgm:t>
        <a:bodyPr/>
        <a:lstStyle/>
        <a:p>
          <a:endParaRPr lang="pl-PL"/>
        </a:p>
      </dgm:t>
    </dgm:pt>
    <dgm:pt modelId="{4E7DA9EC-2B8E-4C85-A8DE-2EAD3261BCC9}" type="pres">
      <dgm:prSet presAssocID="{62827B7E-AB3B-4B38-8CAA-182E32AD3A7E}" presName="sibTrans" presStyleLbl="sibTrans2D1" presStyleIdx="3" presStyleCnt="4"/>
      <dgm:spPr/>
      <dgm:t>
        <a:bodyPr/>
        <a:lstStyle/>
        <a:p>
          <a:endParaRPr lang="pl-PL"/>
        </a:p>
      </dgm:t>
    </dgm:pt>
    <dgm:pt modelId="{14F5D01D-51E9-4B80-B456-494DD3A2D15B}" type="pres">
      <dgm:prSet presAssocID="{62827B7E-AB3B-4B38-8CAA-182E32AD3A7E}" presName="connectorText" presStyleLbl="sibTrans2D1" presStyleIdx="3" presStyleCnt="4"/>
      <dgm:spPr/>
      <dgm:t>
        <a:bodyPr/>
        <a:lstStyle/>
        <a:p>
          <a:endParaRPr lang="pl-PL"/>
        </a:p>
      </dgm:t>
    </dgm:pt>
    <dgm:pt modelId="{59187C91-6904-48C0-B7DD-09859ECC4182}" type="pres">
      <dgm:prSet presAssocID="{D52E7E19-7022-4FB8-B524-EAA2320A7E2E}" presName="node" presStyleLbl="node1" presStyleIdx="4" presStyleCnt="5" custScaleX="304762">
        <dgm:presLayoutVars>
          <dgm:bulletEnabled val="1"/>
        </dgm:presLayoutVars>
      </dgm:prSet>
      <dgm:spPr/>
      <dgm:t>
        <a:bodyPr/>
        <a:lstStyle/>
        <a:p>
          <a:endParaRPr lang="pl-PL"/>
        </a:p>
      </dgm:t>
    </dgm:pt>
  </dgm:ptLst>
  <dgm:cxnLst>
    <dgm:cxn modelId="{B3BB1EA0-53E0-4CFD-88B7-EC8AF421622D}" type="presOf" srcId="{302112AF-7C02-4CB2-A705-B434F3B645A3}" destId="{026D321D-A266-4AB7-9438-A6EEC13B6099}" srcOrd="0" destOrd="0" presId="urn:microsoft.com/office/officeart/2005/8/layout/process1"/>
    <dgm:cxn modelId="{25EF004B-5027-4EC0-8F87-B3F8FBA24D0C}" srcId="{ADFD75C5-1199-41ED-85FB-75B1FDB42EF7}" destId="{BFF44B87-6F19-46DD-9EEE-E13F3BD9A28D}" srcOrd="0" destOrd="0" parTransId="{E212F160-D70A-464F-8A2F-6F5A73F5F211}" sibTransId="{302112AF-7C02-4CB2-A705-B434F3B645A3}"/>
    <dgm:cxn modelId="{64B7C001-FE9C-4367-B621-9A8B1B0AEA9D}" type="presOf" srcId="{62827B7E-AB3B-4B38-8CAA-182E32AD3A7E}" destId="{14F5D01D-51E9-4B80-B456-494DD3A2D15B}" srcOrd="1" destOrd="0" presId="urn:microsoft.com/office/officeart/2005/8/layout/process1"/>
    <dgm:cxn modelId="{8BBC7177-D18F-42CA-A7DC-8DD1E225C7C1}" srcId="{ADFD75C5-1199-41ED-85FB-75B1FDB42EF7}" destId="{D52E7E19-7022-4FB8-B524-EAA2320A7E2E}" srcOrd="4" destOrd="0" parTransId="{B2B46097-F6CA-4B76-8C5E-235FDE0E9DC4}" sibTransId="{8DCE1F1E-E3FC-45C7-998D-5CA5875C95A7}"/>
    <dgm:cxn modelId="{C4711C89-21A6-44BF-8234-F8B4B1BE2EBA}" type="presOf" srcId="{49CECD42-7B2A-4F1E-8E77-DCB2E6BC642C}" destId="{243B36E6-4497-438F-A371-7AE1609B9F78}" srcOrd="0" destOrd="0" presId="urn:microsoft.com/office/officeart/2005/8/layout/process1"/>
    <dgm:cxn modelId="{B083D48B-4A54-4EF0-A116-C6BB65DD2CC8}" type="presOf" srcId="{BFF44B87-6F19-46DD-9EEE-E13F3BD9A28D}" destId="{D7B5F92E-EEF9-4366-B4B8-505839A2E53A}" srcOrd="0" destOrd="0" presId="urn:microsoft.com/office/officeart/2005/8/layout/process1"/>
    <dgm:cxn modelId="{4F9F71FB-DD7B-47B5-A348-27B57C387167}" type="presOf" srcId="{F7E34F9A-06E9-4CEE-BBEB-AF570B8ECA41}" destId="{764362B9-3FDB-4F51-B07E-1200268834C7}" srcOrd="0" destOrd="0" presId="urn:microsoft.com/office/officeart/2005/8/layout/process1"/>
    <dgm:cxn modelId="{18E03C52-AAE9-4A7B-A3AD-83C43F94B5A5}" srcId="{ADFD75C5-1199-41ED-85FB-75B1FDB42EF7}" destId="{F7E34F9A-06E9-4CEE-BBEB-AF570B8ECA41}" srcOrd="2" destOrd="0" parTransId="{AE5A6A00-E084-4E14-AB5C-E648DA24A655}" sibTransId="{17EBC638-F1CD-4523-918B-C7A6FF0016B2}"/>
    <dgm:cxn modelId="{BFE199EE-E8A0-4BA1-B8FD-10989A0FD2D4}" type="presOf" srcId="{ADFD75C5-1199-41ED-85FB-75B1FDB42EF7}" destId="{73CCE140-3375-4A08-BC48-0525E29B7766}" srcOrd="0" destOrd="0" presId="urn:microsoft.com/office/officeart/2005/8/layout/process1"/>
    <dgm:cxn modelId="{BF1C0C6F-1C88-4316-B4A3-ADCBCD91DB23}" type="presOf" srcId="{CF90F2BF-6191-4356-A9A3-3B86A57FA437}" destId="{4E858739-39F2-431B-A4DB-E3CAF79593AC}" srcOrd="0" destOrd="0" presId="urn:microsoft.com/office/officeart/2005/8/layout/process1"/>
    <dgm:cxn modelId="{AED47EC4-2585-43C4-A5F7-098295693D44}" type="presOf" srcId="{17EBC638-F1CD-4523-918B-C7A6FF0016B2}" destId="{72BE93E3-04C0-4206-81A2-590EFA2D604A}" srcOrd="1" destOrd="0" presId="urn:microsoft.com/office/officeart/2005/8/layout/process1"/>
    <dgm:cxn modelId="{595FFCBD-B30B-420F-90FE-5B606E52E7F4}" srcId="{ADFD75C5-1199-41ED-85FB-75B1FDB42EF7}" destId="{49CECD42-7B2A-4F1E-8E77-DCB2E6BC642C}" srcOrd="3" destOrd="0" parTransId="{D3E39B92-21BE-4D6D-AA7E-CA76CA8FA764}" sibTransId="{62827B7E-AB3B-4B38-8CAA-182E32AD3A7E}"/>
    <dgm:cxn modelId="{549E02A0-8E12-4C03-9BBE-5F0160EA63E3}" srcId="{ADFD75C5-1199-41ED-85FB-75B1FDB42EF7}" destId="{CF90F2BF-6191-4356-A9A3-3B86A57FA437}" srcOrd="1" destOrd="0" parTransId="{F3FAF9CD-E3CC-4C7C-824C-6982E24AE422}" sibTransId="{F251FE37-0C4D-44BD-84C7-8DB182910166}"/>
    <dgm:cxn modelId="{40735D10-E1F7-4F1B-A68E-29390C423106}" type="presOf" srcId="{302112AF-7C02-4CB2-A705-B434F3B645A3}" destId="{3654ECA5-F8AF-4DD7-B9FB-5EB8A7549F33}" srcOrd="1" destOrd="0" presId="urn:microsoft.com/office/officeart/2005/8/layout/process1"/>
    <dgm:cxn modelId="{B2DFE74C-E6AF-4582-9EED-207C678BEE55}" type="presOf" srcId="{F251FE37-0C4D-44BD-84C7-8DB182910166}" destId="{293FBD5D-7190-4C05-92C4-45CCA5528FFD}" srcOrd="0" destOrd="0" presId="urn:microsoft.com/office/officeart/2005/8/layout/process1"/>
    <dgm:cxn modelId="{5834F04D-1949-4CF1-B925-CDD4A8A4A52A}" type="presOf" srcId="{62827B7E-AB3B-4B38-8CAA-182E32AD3A7E}" destId="{4E7DA9EC-2B8E-4C85-A8DE-2EAD3261BCC9}" srcOrd="0" destOrd="0" presId="urn:microsoft.com/office/officeart/2005/8/layout/process1"/>
    <dgm:cxn modelId="{1F244CD7-1BB4-4D0D-A7B3-B02299953670}" type="presOf" srcId="{F251FE37-0C4D-44BD-84C7-8DB182910166}" destId="{57117116-3E52-4D66-8517-722B303F7183}" srcOrd="1" destOrd="0" presId="urn:microsoft.com/office/officeart/2005/8/layout/process1"/>
    <dgm:cxn modelId="{DEA3C328-C6DF-4366-A334-4C6E6C31E2BA}" type="presOf" srcId="{17EBC638-F1CD-4523-918B-C7A6FF0016B2}" destId="{14D2F820-EE6B-4F70-8B44-A6F8BE091894}" srcOrd="0" destOrd="0" presId="urn:microsoft.com/office/officeart/2005/8/layout/process1"/>
    <dgm:cxn modelId="{D47EA498-4075-46B0-B644-CD9120E97B2B}" type="presOf" srcId="{D52E7E19-7022-4FB8-B524-EAA2320A7E2E}" destId="{59187C91-6904-48C0-B7DD-09859ECC4182}" srcOrd="0" destOrd="0" presId="urn:microsoft.com/office/officeart/2005/8/layout/process1"/>
    <dgm:cxn modelId="{78AD4C75-0F0B-4A13-B7F8-7B6E8EA2ACB2}" type="presParOf" srcId="{73CCE140-3375-4A08-BC48-0525E29B7766}" destId="{D7B5F92E-EEF9-4366-B4B8-505839A2E53A}" srcOrd="0" destOrd="0" presId="urn:microsoft.com/office/officeart/2005/8/layout/process1"/>
    <dgm:cxn modelId="{8CCB4B84-F159-4ED4-AF9E-164DD47C1D21}" type="presParOf" srcId="{73CCE140-3375-4A08-BC48-0525E29B7766}" destId="{026D321D-A266-4AB7-9438-A6EEC13B6099}" srcOrd="1" destOrd="0" presId="urn:microsoft.com/office/officeart/2005/8/layout/process1"/>
    <dgm:cxn modelId="{EA3ADC8F-9859-4DEA-B28C-FD85692E2AC4}" type="presParOf" srcId="{026D321D-A266-4AB7-9438-A6EEC13B6099}" destId="{3654ECA5-F8AF-4DD7-B9FB-5EB8A7549F33}" srcOrd="0" destOrd="0" presId="urn:microsoft.com/office/officeart/2005/8/layout/process1"/>
    <dgm:cxn modelId="{350C830B-FBA1-4822-A8B5-24EBB9E4FC29}" type="presParOf" srcId="{73CCE140-3375-4A08-BC48-0525E29B7766}" destId="{4E858739-39F2-431B-A4DB-E3CAF79593AC}" srcOrd="2" destOrd="0" presId="urn:microsoft.com/office/officeart/2005/8/layout/process1"/>
    <dgm:cxn modelId="{BA2BEE3F-CCD4-492A-AF11-D2E87FC58032}" type="presParOf" srcId="{73CCE140-3375-4A08-BC48-0525E29B7766}" destId="{293FBD5D-7190-4C05-92C4-45CCA5528FFD}" srcOrd="3" destOrd="0" presId="urn:microsoft.com/office/officeart/2005/8/layout/process1"/>
    <dgm:cxn modelId="{3B793953-EA39-4B30-B0F2-F8D314F8376E}" type="presParOf" srcId="{293FBD5D-7190-4C05-92C4-45CCA5528FFD}" destId="{57117116-3E52-4D66-8517-722B303F7183}" srcOrd="0" destOrd="0" presId="urn:microsoft.com/office/officeart/2005/8/layout/process1"/>
    <dgm:cxn modelId="{DB90EC24-F012-4F08-9B90-071D2181AE40}" type="presParOf" srcId="{73CCE140-3375-4A08-BC48-0525E29B7766}" destId="{764362B9-3FDB-4F51-B07E-1200268834C7}" srcOrd="4" destOrd="0" presId="urn:microsoft.com/office/officeart/2005/8/layout/process1"/>
    <dgm:cxn modelId="{F8566549-1C2F-456B-A11E-BF08032C81A4}" type="presParOf" srcId="{73CCE140-3375-4A08-BC48-0525E29B7766}" destId="{14D2F820-EE6B-4F70-8B44-A6F8BE091894}" srcOrd="5" destOrd="0" presId="urn:microsoft.com/office/officeart/2005/8/layout/process1"/>
    <dgm:cxn modelId="{A400C960-7547-47B9-AA17-C673A6A70446}" type="presParOf" srcId="{14D2F820-EE6B-4F70-8B44-A6F8BE091894}" destId="{72BE93E3-04C0-4206-81A2-590EFA2D604A}" srcOrd="0" destOrd="0" presId="urn:microsoft.com/office/officeart/2005/8/layout/process1"/>
    <dgm:cxn modelId="{40AD2F10-C8F6-400C-A631-72D5B68443A8}" type="presParOf" srcId="{73CCE140-3375-4A08-BC48-0525E29B7766}" destId="{243B36E6-4497-438F-A371-7AE1609B9F78}" srcOrd="6" destOrd="0" presId="urn:microsoft.com/office/officeart/2005/8/layout/process1"/>
    <dgm:cxn modelId="{5401172F-A7A8-407B-8214-644D4ED3A5F8}" type="presParOf" srcId="{73CCE140-3375-4A08-BC48-0525E29B7766}" destId="{4E7DA9EC-2B8E-4C85-A8DE-2EAD3261BCC9}" srcOrd="7" destOrd="0" presId="urn:microsoft.com/office/officeart/2005/8/layout/process1"/>
    <dgm:cxn modelId="{44B894CE-DF85-4A99-8551-991C59C6679B}" type="presParOf" srcId="{4E7DA9EC-2B8E-4C85-A8DE-2EAD3261BCC9}" destId="{14F5D01D-51E9-4B80-B456-494DD3A2D15B}" srcOrd="0" destOrd="0" presId="urn:microsoft.com/office/officeart/2005/8/layout/process1"/>
    <dgm:cxn modelId="{51F67BB9-1AF3-479E-AD7B-F68A20AEBC52}" type="presParOf" srcId="{73CCE140-3375-4A08-BC48-0525E29B7766}" destId="{59187C91-6904-48C0-B7DD-09859ECC4182}" srcOrd="8" destOrd="0" presId="urn:microsoft.com/office/officeart/2005/8/layout/process1"/>
  </dgm:cxnLst>
  <dgm:bg/>
  <dgm:whole/>
  <dgm:extLst>
    <a:ext uri="http://schemas.microsoft.com/office/drawing/2008/diagram">
      <dsp:dataModelExt xmlns:dsp="http://schemas.microsoft.com/office/drawing/2008/diagram" xmlns=""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DFD75C5-1199-41ED-85FB-75B1FDB42EF7}" type="doc">
      <dgm:prSet loTypeId="urn:microsoft.com/office/officeart/2005/8/layout/process1" loCatId="process" qsTypeId="urn:microsoft.com/office/officeart/2005/8/quickstyle/simple1" qsCatId="simple" csTypeId="urn:microsoft.com/office/officeart/2005/8/colors/accent1_2" csCatId="accent1" phldr="1"/>
      <dgm:spPr/>
    </dgm:pt>
    <dgm:pt modelId="{BFF44B87-6F19-46DD-9EEE-E13F3BD9A28D}">
      <dgm:prSet phldrT="[Tekst]" custT="1"/>
      <dgm:spPr>
        <a:solidFill>
          <a:schemeClr val="accent1">
            <a:lumMod val="20000"/>
            <a:lumOff val="80000"/>
          </a:schemeClr>
        </a:solidFill>
      </dgm:spPr>
      <dgm:t>
        <a:bodyPr/>
        <a:lstStyle/>
        <a:p>
          <a:r>
            <a:rPr lang="pl-PL" sz="900">
              <a:solidFill>
                <a:sysClr val="windowText" lastClr="000000"/>
              </a:solidFill>
            </a:rPr>
            <a:t>odtworzenie logiki interwencji i budowa modelu logicznego</a:t>
          </a:r>
        </a:p>
      </dgm:t>
    </dgm:pt>
    <dgm:pt modelId="{E212F160-D70A-464F-8A2F-6F5A73F5F211}" type="parTrans" cxnId="{25EF004B-5027-4EC0-8F87-B3F8FBA24D0C}">
      <dgm:prSet/>
      <dgm:spPr/>
      <dgm:t>
        <a:bodyPr/>
        <a:lstStyle/>
        <a:p>
          <a:endParaRPr lang="pl-PL" sz="900"/>
        </a:p>
      </dgm:t>
    </dgm:pt>
    <dgm:pt modelId="{302112AF-7C02-4CB2-A705-B434F3B645A3}" type="sibTrans" cxnId="{25EF004B-5027-4EC0-8F87-B3F8FBA24D0C}">
      <dgm:prSet custT="1"/>
      <dgm:spPr>
        <a:solidFill>
          <a:schemeClr val="accent1">
            <a:tint val="60000"/>
            <a:hueOff val="0"/>
            <a:satOff val="0"/>
            <a:lumOff val="0"/>
            <a:alpha val="0"/>
          </a:schemeClr>
        </a:solidFill>
      </dgm:spPr>
      <dgm:t>
        <a:bodyPr/>
        <a:lstStyle/>
        <a:p>
          <a:endParaRPr lang="pl-PL" sz="900"/>
        </a:p>
      </dgm:t>
    </dgm:pt>
    <dgm:pt modelId="{CF90F2BF-6191-4356-A9A3-3B86A57FA437}">
      <dgm:prSet phldrT="[Tekst]" custT="1"/>
      <dgm:spPr>
        <a:solidFill>
          <a:schemeClr val="accent1">
            <a:lumMod val="20000"/>
            <a:lumOff val="80000"/>
          </a:schemeClr>
        </a:solidFill>
      </dgm:spPr>
      <dgm:t>
        <a:bodyPr/>
        <a:lstStyle/>
        <a:p>
          <a:r>
            <a:rPr lang="pl-PL" sz="900">
              <a:solidFill>
                <a:sysClr val="windowText" lastClr="000000"/>
              </a:solidFill>
            </a:rPr>
            <a:t>weryfikacja logiki interwencji (spójność wewnętrzna)</a:t>
          </a:r>
        </a:p>
      </dgm:t>
    </dgm:pt>
    <dgm:pt modelId="{F3FAF9CD-E3CC-4C7C-824C-6982E24AE422}" type="parTrans" cxnId="{549E02A0-8E12-4C03-9BBE-5F0160EA63E3}">
      <dgm:prSet/>
      <dgm:spPr/>
      <dgm:t>
        <a:bodyPr/>
        <a:lstStyle/>
        <a:p>
          <a:endParaRPr lang="pl-PL" sz="900"/>
        </a:p>
      </dgm:t>
    </dgm:pt>
    <dgm:pt modelId="{F251FE37-0C4D-44BD-84C7-8DB182910166}" type="sibTrans" cxnId="{549E02A0-8E12-4C03-9BBE-5F0160EA63E3}">
      <dgm:prSet custT="1"/>
      <dgm:spPr>
        <a:solidFill>
          <a:schemeClr val="accent1">
            <a:tint val="60000"/>
            <a:hueOff val="0"/>
            <a:satOff val="0"/>
            <a:lumOff val="0"/>
            <a:alpha val="0"/>
          </a:schemeClr>
        </a:solidFill>
      </dgm:spPr>
      <dgm:t>
        <a:bodyPr/>
        <a:lstStyle/>
        <a:p>
          <a:endParaRPr lang="pl-PL" sz="900"/>
        </a:p>
      </dgm:t>
    </dgm:pt>
    <dgm:pt modelId="{F7E34F9A-06E9-4CEE-BBEB-AF570B8ECA41}">
      <dgm:prSet phldrT="[Tekst]" custT="1"/>
      <dgm:spPr>
        <a:solidFill>
          <a:schemeClr val="accent1">
            <a:lumMod val="20000"/>
            <a:lumOff val="80000"/>
          </a:schemeClr>
        </a:solidFill>
      </dgm:spPr>
      <dgm:t>
        <a:bodyPr/>
        <a:lstStyle/>
        <a:p>
          <a:r>
            <a:rPr lang="pl-PL" sz="900">
              <a:solidFill>
                <a:sysClr val="windowText" lastClr="000000"/>
              </a:solidFill>
            </a:rPr>
            <a:t>weryfikacja logiki interwencji (spójność zewnętrzna)</a:t>
          </a:r>
        </a:p>
      </dgm:t>
    </dgm:pt>
    <dgm:pt modelId="{AE5A6A00-E084-4E14-AB5C-E648DA24A655}" type="parTrans" cxnId="{18E03C52-AAE9-4A7B-A3AD-83C43F94B5A5}">
      <dgm:prSet/>
      <dgm:spPr/>
      <dgm:t>
        <a:bodyPr/>
        <a:lstStyle/>
        <a:p>
          <a:endParaRPr lang="pl-PL" sz="900"/>
        </a:p>
      </dgm:t>
    </dgm:pt>
    <dgm:pt modelId="{17EBC638-F1CD-4523-918B-C7A6FF0016B2}" type="sibTrans" cxnId="{18E03C52-AAE9-4A7B-A3AD-83C43F94B5A5}">
      <dgm:prSet custT="1"/>
      <dgm:spPr>
        <a:solidFill>
          <a:schemeClr val="accent1">
            <a:tint val="60000"/>
            <a:hueOff val="0"/>
            <a:satOff val="0"/>
            <a:lumOff val="0"/>
            <a:alpha val="0"/>
          </a:schemeClr>
        </a:solidFill>
      </dgm:spPr>
      <dgm:t>
        <a:bodyPr/>
        <a:lstStyle/>
        <a:p>
          <a:endParaRPr lang="pl-PL" sz="900"/>
        </a:p>
      </dgm:t>
    </dgm:pt>
    <dgm:pt modelId="{49CECD42-7B2A-4F1E-8E77-DCB2E6BC642C}">
      <dgm:prSet phldrT="[Tekst]" custT="1"/>
      <dgm:spPr>
        <a:solidFill>
          <a:schemeClr val="accent1">
            <a:lumMod val="20000"/>
            <a:lumOff val="80000"/>
          </a:schemeClr>
        </a:solidFill>
      </dgm:spPr>
      <dgm:t>
        <a:bodyPr/>
        <a:lstStyle/>
        <a:p>
          <a:r>
            <a:rPr lang="pl-PL" sz="900">
              <a:solidFill>
                <a:sysClr val="windowText" lastClr="000000"/>
              </a:solidFill>
            </a:rPr>
            <a:t>odtworzenie i weryfikacja sysytemu realizacji; zaprojektowanie przyszłej ewaluacji</a:t>
          </a:r>
        </a:p>
      </dgm:t>
    </dgm:pt>
    <dgm:pt modelId="{D3E39B92-21BE-4D6D-AA7E-CA76CA8FA764}" type="parTrans" cxnId="{595FFCBD-B30B-420F-90FE-5B606E52E7F4}">
      <dgm:prSet/>
      <dgm:spPr/>
      <dgm:t>
        <a:bodyPr/>
        <a:lstStyle/>
        <a:p>
          <a:endParaRPr lang="pl-PL" sz="900"/>
        </a:p>
      </dgm:t>
    </dgm:pt>
    <dgm:pt modelId="{62827B7E-AB3B-4B38-8CAA-182E32AD3A7E}" type="sibTrans" cxnId="{595FFCBD-B30B-420F-90FE-5B606E52E7F4}">
      <dgm:prSet custT="1"/>
      <dgm:spPr>
        <a:solidFill>
          <a:schemeClr val="accent1">
            <a:tint val="60000"/>
            <a:hueOff val="0"/>
            <a:satOff val="0"/>
            <a:lumOff val="0"/>
            <a:alpha val="0"/>
          </a:schemeClr>
        </a:solidFill>
      </dgm:spPr>
      <dgm:t>
        <a:bodyPr/>
        <a:lstStyle/>
        <a:p>
          <a:endParaRPr lang="pl-PL" sz="900"/>
        </a:p>
      </dgm:t>
    </dgm:pt>
    <dgm:pt modelId="{D52E7E19-7022-4FB8-B524-EAA2320A7E2E}">
      <dgm:prSet phldrT="[Tekst]" custT="1"/>
      <dgm:spPr>
        <a:solidFill>
          <a:schemeClr val="accent1">
            <a:lumMod val="20000"/>
            <a:lumOff val="80000"/>
          </a:schemeClr>
        </a:solidFill>
      </dgm:spPr>
      <dgm:t>
        <a:bodyPr/>
        <a:lstStyle/>
        <a:p>
          <a:r>
            <a:rPr lang="pl-PL" sz="900">
              <a:solidFill>
                <a:sysClr val="windowText" lastClr="000000"/>
              </a:solidFill>
            </a:rPr>
            <a:t>wypracowanie propozycji zmian w programie</a:t>
          </a:r>
        </a:p>
      </dgm:t>
    </dgm:pt>
    <dgm:pt modelId="{B2B46097-F6CA-4B76-8C5E-235FDE0E9DC4}" type="parTrans" cxnId="{8BBC7177-D18F-42CA-A7DC-8DD1E225C7C1}">
      <dgm:prSet/>
      <dgm:spPr/>
      <dgm:t>
        <a:bodyPr/>
        <a:lstStyle/>
        <a:p>
          <a:endParaRPr lang="pl-PL" sz="900"/>
        </a:p>
      </dgm:t>
    </dgm:pt>
    <dgm:pt modelId="{8DCE1F1E-E3FC-45C7-998D-5CA5875C95A7}" type="sibTrans" cxnId="{8BBC7177-D18F-42CA-A7DC-8DD1E225C7C1}">
      <dgm:prSet/>
      <dgm:spPr/>
      <dgm:t>
        <a:bodyPr/>
        <a:lstStyle/>
        <a:p>
          <a:endParaRPr lang="pl-PL" sz="900"/>
        </a:p>
      </dgm:t>
    </dgm:pt>
    <dgm:pt modelId="{73CCE140-3375-4A08-BC48-0525E29B7766}" type="pres">
      <dgm:prSet presAssocID="{ADFD75C5-1199-41ED-85FB-75B1FDB42EF7}" presName="Name0" presStyleCnt="0">
        <dgm:presLayoutVars>
          <dgm:dir/>
          <dgm:resizeHandles val="exact"/>
        </dgm:presLayoutVars>
      </dgm:prSet>
      <dgm:spPr/>
    </dgm:pt>
    <dgm:pt modelId="{D7B5F92E-EEF9-4366-B4B8-505839A2E53A}" type="pres">
      <dgm:prSet presAssocID="{BFF44B87-6F19-46DD-9EEE-E13F3BD9A28D}" presName="node" presStyleLbl="node1" presStyleIdx="0" presStyleCnt="5" custScaleX="345934" custScaleY="165795">
        <dgm:presLayoutVars>
          <dgm:bulletEnabled val="1"/>
        </dgm:presLayoutVars>
      </dgm:prSet>
      <dgm:spPr/>
      <dgm:t>
        <a:bodyPr/>
        <a:lstStyle/>
        <a:p>
          <a:endParaRPr lang="pl-PL"/>
        </a:p>
      </dgm:t>
    </dgm:pt>
    <dgm:pt modelId="{026D321D-A266-4AB7-9438-A6EEC13B6099}" type="pres">
      <dgm:prSet presAssocID="{302112AF-7C02-4CB2-A705-B434F3B645A3}" presName="sibTrans" presStyleLbl="sibTrans2D1" presStyleIdx="0" presStyleCnt="4" custLinFactNeighborX="-4900" custLinFactNeighborY="12565"/>
      <dgm:spPr/>
      <dgm:t>
        <a:bodyPr/>
        <a:lstStyle/>
        <a:p>
          <a:endParaRPr lang="pl-PL"/>
        </a:p>
      </dgm:t>
    </dgm:pt>
    <dgm:pt modelId="{3654ECA5-F8AF-4DD7-B9FB-5EB8A7549F33}" type="pres">
      <dgm:prSet presAssocID="{302112AF-7C02-4CB2-A705-B434F3B645A3}" presName="connectorText" presStyleLbl="sibTrans2D1" presStyleIdx="0" presStyleCnt="4"/>
      <dgm:spPr/>
      <dgm:t>
        <a:bodyPr/>
        <a:lstStyle/>
        <a:p>
          <a:endParaRPr lang="pl-PL"/>
        </a:p>
      </dgm:t>
    </dgm:pt>
    <dgm:pt modelId="{4E858739-39F2-431B-A4DB-E3CAF79593AC}" type="pres">
      <dgm:prSet presAssocID="{CF90F2BF-6191-4356-A9A3-3B86A57FA437}" presName="node" presStyleLbl="node1" presStyleIdx="1" presStyleCnt="5" custScaleX="345934" custScaleY="165795">
        <dgm:presLayoutVars>
          <dgm:bulletEnabled val="1"/>
        </dgm:presLayoutVars>
      </dgm:prSet>
      <dgm:spPr/>
      <dgm:t>
        <a:bodyPr/>
        <a:lstStyle/>
        <a:p>
          <a:endParaRPr lang="pl-PL"/>
        </a:p>
      </dgm:t>
    </dgm:pt>
    <dgm:pt modelId="{293FBD5D-7190-4C05-92C4-45CCA5528FFD}" type="pres">
      <dgm:prSet presAssocID="{F251FE37-0C4D-44BD-84C7-8DB182910166}" presName="sibTrans" presStyleLbl="sibTrans2D1" presStyleIdx="1" presStyleCnt="4"/>
      <dgm:spPr/>
      <dgm:t>
        <a:bodyPr/>
        <a:lstStyle/>
        <a:p>
          <a:endParaRPr lang="pl-PL"/>
        </a:p>
      </dgm:t>
    </dgm:pt>
    <dgm:pt modelId="{57117116-3E52-4D66-8517-722B303F7183}" type="pres">
      <dgm:prSet presAssocID="{F251FE37-0C4D-44BD-84C7-8DB182910166}" presName="connectorText" presStyleLbl="sibTrans2D1" presStyleIdx="1" presStyleCnt="4"/>
      <dgm:spPr/>
      <dgm:t>
        <a:bodyPr/>
        <a:lstStyle/>
        <a:p>
          <a:endParaRPr lang="pl-PL"/>
        </a:p>
      </dgm:t>
    </dgm:pt>
    <dgm:pt modelId="{764362B9-3FDB-4F51-B07E-1200268834C7}" type="pres">
      <dgm:prSet presAssocID="{F7E34F9A-06E9-4CEE-BBEB-AF570B8ECA41}" presName="node" presStyleLbl="node1" presStyleIdx="2" presStyleCnt="5" custScaleX="345934" custScaleY="165795">
        <dgm:presLayoutVars>
          <dgm:bulletEnabled val="1"/>
        </dgm:presLayoutVars>
      </dgm:prSet>
      <dgm:spPr/>
      <dgm:t>
        <a:bodyPr/>
        <a:lstStyle/>
        <a:p>
          <a:endParaRPr lang="pl-PL"/>
        </a:p>
      </dgm:t>
    </dgm:pt>
    <dgm:pt modelId="{14D2F820-EE6B-4F70-8B44-A6F8BE091894}" type="pres">
      <dgm:prSet presAssocID="{17EBC638-F1CD-4523-918B-C7A6FF0016B2}" presName="sibTrans" presStyleLbl="sibTrans2D1" presStyleIdx="2" presStyleCnt="4"/>
      <dgm:spPr/>
      <dgm:t>
        <a:bodyPr/>
        <a:lstStyle/>
        <a:p>
          <a:endParaRPr lang="pl-PL"/>
        </a:p>
      </dgm:t>
    </dgm:pt>
    <dgm:pt modelId="{72BE93E3-04C0-4206-81A2-590EFA2D604A}" type="pres">
      <dgm:prSet presAssocID="{17EBC638-F1CD-4523-918B-C7A6FF0016B2}" presName="connectorText" presStyleLbl="sibTrans2D1" presStyleIdx="2" presStyleCnt="4"/>
      <dgm:spPr/>
      <dgm:t>
        <a:bodyPr/>
        <a:lstStyle/>
        <a:p>
          <a:endParaRPr lang="pl-PL"/>
        </a:p>
      </dgm:t>
    </dgm:pt>
    <dgm:pt modelId="{243B36E6-4497-438F-A371-7AE1609B9F78}" type="pres">
      <dgm:prSet presAssocID="{49CECD42-7B2A-4F1E-8E77-DCB2E6BC642C}" presName="node" presStyleLbl="node1" presStyleIdx="3" presStyleCnt="5" custScaleX="345934" custScaleY="165795">
        <dgm:presLayoutVars>
          <dgm:bulletEnabled val="1"/>
        </dgm:presLayoutVars>
      </dgm:prSet>
      <dgm:spPr/>
      <dgm:t>
        <a:bodyPr/>
        <a:lstStyle/>
        <a:p>
          <a:endParaRPr lang="pl-PL"/>
        </a:p>
      </dgm:t>
    </dgm:pt>
    <dgm:pt modelId="{4E7DA9EC-2B8E-4C85-A8DE-2EAD3261BCC9}" type="pres">
      <dgm:prSet presAssocID="{62827B7E-AB3B-4B38-8CAA-182E32AD3A7E}" presName="sibTrans" presStyleLbl="sibTrans2D1" presStyleIdx="3" presStyleCnt="4"/>
      <dgm:spPr/>
      <dgm:t>
        <a:bodyPr/>
        <a:lstStyle/>
        <a:p>
          <a:endParaRPr lang="pl-PL"/>
        </a:p>
      </dgm:t>
    </dgm:pt>
    <dgm:pt modelId="{14F5D01D-51E9-4B80-B456-494DD3A2D15B}" type="pres">
      <dgm:prSet presAssocID="{62827B7E-AB3B-4B38-8CAA-182E32AD3A7E}" presName="connectorText" presStyleLbl="sibTrans2D1" presStyleIdx="3" presStyleCnt="4"/>
      <dgm:spPr/>
      <dgm:t>
        <a:bodyPr/>
        <a:lstStyle/>
        <a:p>
          <a:endParaRPr lang="pl-PL"/>
        </a:p>
      </dgm:t>
    </dgm:pt>
    <dgm:pt modelId="{59187C91-6904-48C0-B7DD-09859ECC4182}" type="pres">
      <dgm:prSet presAssocID="{D52E7E19-7022-4FB8-B524-EAA2320A7E2E}" presName="node" presStyleLbl="node1" presStyleIdx="4" presStyleCnt="5" custScaleX="345934" custScaleY="165795">
        <dgm:presLayoutVars>
          <dgm:bulletEnabled val="1"/>
        </dgm:presLayoutVars>
      </dgm:prSet>
      <dgm:spPr/>
      <dgm:t>
        <a:bodyPr/>
        <a:lstStyle/>
        <a:p>
          <a:endParaRPr lang="pl-PL"/>
        </a:p>
      </dgm:t>
    </dgm:pt>
  </dgm:ptLst>
  <dgm:cxnLst>
    <dgm:cxn modelId="{06B00344-9D1C-4317-B1F5-1A95C17AB4B1}" type="presOf" srcId="{62827B7E-AB3B-4B38-8CAA-182E32AD3A7E}" destId="{4E7DA9EC-2B8E-4C85-A8DE-2EAD3261BCC9}" srcOrd="0" destOrd="0" presId="urn:microsoft.com/office/officeart/2005/8/layout/process1"/>
    <dgm:cxn modelId="{93FA6604-88BB-4953-98AF-EB20C875E97D}" type="presOf" srcId="{D52E7E19-7022-4FB8-B524-EAA2320A7E2E}" destId="{59187C91-6904-48C0-B7DD-09859ECC4182}" srcOrd="0" destOrd="0" presId="urn:microsoft.com/office/officeart/2005/8/layout/process1"/>
    <dgm:cxn modelId="{25EF004B-5027-4EC0-8F87-B3F8FBA24D0C}" srcId="{ADFD75C5-1199-41ED-85FB-75B1FDB42EF7}" destId="{BFF44B87-6F19-46DD-9EEE-E13F3BD9A28D}" srcOrd="0" destOrd="0" parTransId="{E212F160-D70A-464F-8A2F-6F5A73F5F211}" sibTransId="{302112AF-7C02-4CB2-A705-B434F3B645A3}"/>
    <dgm:cxn modelId="{8BBC7177-D18F-42CA-A7DC-8DD1E225C7C1}" srcId="{ADFD75C5-1199-41ED-85FB-75B1FDB42EF7}" destId="{D52E7E19-7022-4FB8-B524-EAA2320A7E2E}" srcOrd="4" destOrd="0" parTransId="{B2B46097-F6CA-4B76-8C5E-235FDE0E9DC4}" sibTransId="{8DCE1F1E-E3FC-45C7-998D-5CA5875C95A7}"/>
    <dgm:cxn modelId="{081655C2-AB5B-4AC7-A50E-5F1A0558449F}" type="presOf" srcId="{62827B7E-AB3B-4B38-8CAA-182E32AD3A7E}" destId="{14F5D01D-51E9-4B80-B456-494DD3A2D15B}" srcOrd="1" destOrd="0" presId="urn:microsoft.com/office/officeart/2005/8/layout/process1"/>
    <dgm:cxn modelId="{C77E696E-2E5A-41E6-84C5-3205F890504A}" type="presOf" srcId="{CF90F2BF-6191-4356-A9A3-3B86A57FA437}" destId="{4E858739-39F2-431B-A4DB-E3CAF79593AC}" srcOrd="0" destOrd="0" presId="urn:microsoft.com/office/officeart/2005/8/layout/process1"/>
    <dgm:cxn modelId="{18E03C52-AAE9-4A7B-A3AD-83C43F94B5A5}" srcId="{ADFD75C5-1199-41ED-85FB-75B1FDB42EF7}" destId="{F7E34F9A-06E9-4CEE-BBEB-AF570B8ECA41}" srcOrd="2" destOrd="0" parTransId="{AE5A6A00-E084-4E14-AB5C-E648DA24A655}" sibTransId="{17EBC638-F1CD-4523-918B-C7A6FF0016B2}"/>
    <dgm:cxn modelId="{5A28CD47-4040-464D-B60A-93071C5E7329}" type="presOf" srcId="{302112AF-7C02-4CB2-A705-B434F3B645A3}" destId="{3654ECA5-F8AF-4DD7-B9FB-5EB8A7549F33}" srcOrd="1" destOrd="0" presId="urn:microsoft.com/office/officeart/2005/8/layout/process1"/>
    <dgm:cxn modelId="{595FFCBD-B30B-420F-90FE-5B606E52E7F4}" srcId="{ADFD75C5-1199-41ED-85FB-75B1FDB42EF7}" destId="{49CECD42-7B2A-4F1E-8E77-DCB2E6BC642C}" srcOrd="3" destOrd="0" parTransId="{D3E39B92-21BE-4D6D-AA7E-CA76CA8FA764}" sibTransId="{62827B7E-AB3B-4B38-8CAA-182E32AD3A7E}"/>
    <dgm:cxn modelId="{549E02A0-8E12-4C03-9BBE-5F0160EA63E3}" srcId="{ADFD75C5-1199-41ED-85FB-75B1FDB42EF7}" destId="{CF90F2BF-6191-4356-A9A3-3B86A57FA437}" srcOrd="1" destOrd="0" parTransId="{F3FAF9CD-E3CC-4C7C-824C-6982E24AE422}" sibTransId="{F251FE37-0C4D-44BD-84C7-8DB182910166}"/>
    <dgm:cxn modelId="{D049BF1F-5CFD-48BC-BCC1-68473CA50FF2}" type="presOf" srcId="{17EBC638-F1CD-4523-918B-C7A6FF0016B2}" destId="{14D2F820-EE6B-4F70-8B44-A6F8BE091894}" srcOrd="0" destOrd="0" presId="urn:microsoft.com/office/officeart/2005/8/layout/process1"/>
    <dgm:cxn modelId="{574E036E-E2BC-4358-B092-E44C81288886}" type="presOf" srcId="{F251FE37-0C4D-44BD-84C7-8DB182910166}" destId="{57117116-3E52-4D66-8517-722B303F7183}" srcOrd="1" destOrd="0" presId="urn:microsoft.com/office/officeart/2005/8/layout/process1"/>
    <dgm:cxn modelId="{73586B01-FE9F-4066-A0DA-ED1EE0A18612}" type="presOf" srcId="{BFF44B87-6F19-46DD-9EEE-E13F3BD9A28D}" destId="{D7B5F92E-EEF9-4366-B4B8-505839A2E53A}" srcOrd="0" destOrd="0" presId="urn:microsoft.com/office/officeart/2005/8/layout/process1"/>
    <dgm:cxn modelId="{F1A309CA-75E3-46E1-83BA-5878A6EF58DA}" type="presOf" srcId="{F251FE37-0C4D-44BD-84C7-8DB182910166}" destId="{293FBD5D-7190-4C05-92C4-45CCA5528FFD}" srcOrd="0" destOrd="0" presId="urn:microsoft.com/office/officeart/2005/8/layout/process1"/>
    <dgm:cxn modelId="{BCD76ED5-1455-41EE-B142-C26FCCECCDBA}" type="presOf" srcId="{F7E34F9A-06E9-4CEE-BBEB-AF570B8ECA41}" destId="{764362B9-3FDB-4F51-B07E-1200268834C7}" srcOrd="0" destOrd="0" presId="urn:microsoft.com/office/officeart/2005/8/layout/process1"/>
    <dgm:cxn modelId="{15C2C93A-9221-412B-9E7E-DBCEC0D144AD}" type="presOf" srcId="{302112AF-7C02-4CB2-A705-B434F3B645A3}" destId="{026D321D-A266-4AB7-9438-A6EEC13B6099}" srcOrd="0" destOrd="0" presId="urn:microsoft.com/office/officeart/2005/8/layout/process1"/>
    <dgm:cxn modelId="{F3733592-3E3D-4560-933C-F25E8E7D8ADC}" type="presOf" srcId="{ADFD75C5-1199-41ED-85FB-75B1FDB42EF7}" destId="{73CCE140-3375-4A08-BC48-0525E29B7766}" srcOrd="0" destOrd="0" presId="urn:microsoft.com/office/officeart/2005/8/layout/process1"/>
    <dgm:cxn modelId="{D7DFBEC1-5E27-4FCA-BC04-F031059F2E68}" type="presOf" srcId="{17EBC638-F1CD-4523-918B-C7A6FF0016B2}" destId="{72BE93E3-04C0-4206-81A2-590EFA2D604A}" srcOrd="1" destOrd="0" presId="urn:microsoft.com/office/officeart/2005/8/layout/process1"/>
    <dgm:cxn modelId="{806E6F40-1E4F-440E-82A0-C6D71E100A85}" type="presOf" srcId="{49CECD42-7B2A-4F1E-8E77-DCB2E6BC642C}" destId="{243B36E6-4497-438F-A371-7AE1609B9F78}" srcOrd="0" destOrd="0" presId="urn:microsoft.com/office/officeart/2005/8/layout/process1"/>
    <dgm:cxn modelId="{8BC39C15-0764-449A-944D-92431D9A67B5}" type="presParOf" srcId="{73CCE140-3375-4A08-BC48-0525E29B7766}" destId="{D7B5F92E-EEF9-4366-B4B8-505839A2E53A}" srcOrd="0" destOrd="0" presId="urn:microsoft.com/office/officeart/2005/8/layout/process1"/>
    <dgm:cxn modelId="{D9E1D306-1506-46FA-B57C-79879FB8CB82}" type="presParOf" srcId="{73CCE140-3375-4A08-BC48-0525E29B7766}" destId="{026D321D-A266-4AB7-9438-A6EEC13B6099}" srcOrd="1" destOrd="0" presId="urn:microsoft.com/office/officeart/2005/8/layout/process1"/>
    <dgm:cxn modelId="{11502AE0-6338-481C-8A00-B4E4B139C29E}" type="presParOf" srcId="{026D321D-A266-4AB7-9438-A6EEC13B6099}" destId="{3654ECA5-F8AF-4DD7-B9FB-5EB8A7549F33}" srcOrd="0" destOrd="0" presId="urn:microsoft.com/office/officeart/2005/8/layout/process1"/>
    <dgm:cxn modelId="{1B7CFC27-A99B-4BAA-B087-1AAE91593D88}" type="presParOf" srcId="{73CCE140-3375-4A08-BC48-0525E29B7766}" destId="{4E858739-39F2-431B-A4DB-E3CAF79593AC}" srcOrd="2" destOrd="0" presId="urn:microsoft.com/office/officeart/2005/8/layout/process1"/>
    <dgm:cxn modelId="{63195C7B-33E6-4A1D-99CB-C7ED9068FADC}" type="presParOf" srcId="{73CCE140-3375-4A08-BC48-0525E29B7766}" destId="{293FBD5D-7190-4C05-92C4-45CCA5528FFD}" srcOrd="3" destOrd="0" presId="urn:microsoft.com/office/officeart/2005/8/layout/process1"/>
    <dgm:cxn modelId="{A5968D99-8517-405A-8994-405F777FB58C}" type="presParOf" srcId="{293FBD5D-7190-4C05-92C4-45CCA5528FFD}" destId="{57117116-3E52-4D66-8517-722B303F7183}" srcOrd="0" destOrd="0" presId="urn:microsoft.com/office/officeart/2005/8/layout/process1"/>
    <dgm:cxn modelId="{6D4A46A3-4FC4-4A9D-9DB4-A0ECCB69CAFA}" type="presParOf" srcId="{73CCE140-3375-4A08-BC48-0525E29B7766}" destId="{764362B9-3FDB-4F51-B07E-1200268834C7}" srcOrd="4" destOrd="0" presId="urn:microsoft.com/office/officeart/2005/8/layout/process1"/>
    <dgm:cxn modelId="{2EBF36D0-4C1F-4733-9BD0-AE29EF19C4F4}" type="presParOf" srcId="{73CCE140-3375-4A08-BC48-0525E29B7766}" destId="{14D2F820-EE6B-4F70-8B44-A6F8BE091894}" srcOrd="5" destOrd="0" presId="urn:microsoft.com/office/officeart/2005/8/layout/process1"/>
    <dgm:cxn modelId="{C0090D61-705C-472A-B1EC-7506BC3C3CE8}" type="presParOf" srcId="{14D2F820-EE6B-4F70-8B44-A6F8BE091894}" destId="{72BE93E3-04C0-4206-81A2-590EFA2D604A}" srcOrd="0" destOrd="0" presId="urn:microsoft.com/office/officeart/2005/8/layout/process1"/>
    <dgm:cxn modelId="{01DF675F-8893-47B1-AE85-D44A56EA4916}" type="presParOf" srcId="{73CCE140-3375-4A08-BC48-0525E29B7766}" destId="{243B36E6-4497-438F-A371-7AE1609B9F78}" srcOrd="6" destOrd="0" presId="urn:microsoft.com/office/officeart/2005/8/layout/process1"/>
    <dgm:cxn modelId="{53F66A26-CD11-4067-91FD-779579302483}" type="presParOf" srcId="{73CCE140-3375-4A08-BC48-0525E29B7766}" destId="{4E7DA9EC-2B8E-4C85-A8DE-2EAD3261BCC9}" srcOrd="7" destOrd="0" presId="urn:microsoft.com/office/officeart/2005/8/layout/process1"/>
    <dgm:cxn modelId="{7912008D-977B-439E-93F0-43151C724FEA}" type="presParOf" srcId="{4E7DA9EC-2B8E-4C85-A8DE-2EAD3261BCC9}" destId="{14F5D01D-51E9-4B80-B456-494DD3A2D15B}" srcOrd="0" destOrd="0" presId="urn:microsoft.com/office/officeart/2005/8/layout/process1"/>
    <dgm:cxn modelId="{5021E8B6-0DFA-4F34-9BAF-1BB641E2A4EF}" type="presParOf" srcId="{73CCE140-3375-4A08-BC48-0525E29B7766}" destId="{59187C91-6904-48C0-B7DD-09859ECC4182}" srcOrd="8" destOrd="0" presId="urn:microsoft.com/office/officeart/2005/8/layout/process1"/>
  </dgm:cxnLst>
  <dgm:bg/>
  <dgm:whole/>
  <dgm:extLst>
    <a:ext uri="http://schemas.microsoft.com/office/drawing/2008/diagram">
      <dsp:dataModelExt xmlns:dsp="http://schemas.microsoft.com/office/drawing/2008/diagram" xmlns="" relId="rId2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7B5F92E-EEF9-4366-B4B8-505839A2E53A}">
      <dsp:nvSpPr>
        <dsp:cNvPr id="0" name=""/>
        <dsp:cNvSpPr/>
      </dsp:nvSpPr>
      <dsp:spPr>
        <a:xfrm>
          <a:off x="2767" y="0"/>
          <a:ext cx="992011" cy="49170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b="1" kern="1200"/>
            <a:t>Moduł 0</a:t>
          </a:r>
        </a:p>
      </dsp:txBody>
      <dsp:txXfrm>
        <a:off x="2767" y="0"/>
        <a:ext cx="992011" cy="491705"/>
      </dsp:txXfrm>
    </dsp:sp>
    <dsp:sp modelId="{026D321D-A266-4AB7-9438-A6EEC13B6099}">
      <dsp:nvSpPr>
        <dsp:cNvPr id="0" name=""/>
        <dsp:cNvSpPr/>
      </dsp:nvSpPr>
      <dsp:spPr>
        <a:xfrm>
          <a:off x="1027329" y="205490"/>
          <a:ext cx="69006" cy="8072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1027329" y="205490"/>
        <a:ext cx="69006" cy="80724"/>
      </dsp:txXfrm>
    </dsp:sp>
    <dsp:sp modelId="{4E858739-39F2-431B-A4DB-E3CAF79593AC}">
      <dsp:nvSpPr>
        <dsp:cNvPr id="0" name=""/>
        <dsp:cNvSpPr/>
      </dsp:nvSpPr>
      <dsp:spPr>
        <a:xfrm>
          <a:off x="1124980" y="0"/>
          <a:ext cx="992011" cy="49170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b="1" kern="1200"/>
            <a:t>Moduł I</a:t>
          </a:r>
        </a:p>
      </dsp:txBody>
      <dsp:txXfrm>
        <a:off x="1124980" y="0"/>
        <a:ext cx="992011" cy="491705"/>
      </dsp:txXfrm>
    </dsp:sp>
    <dsp:sp modelId="{293FBD5D-7190-4C05-92C4-45CCA5528FFD}">
      <dsp:nvSpPr>
        <dsp:cNvPr id="0" name=""/>
        <dsp:cNvSpPr/>
      </dsp:nvSpPr>
      <dsp:spPr>
        <a:xfrm>
          <a:off x="2149542" y="205490"/>
          <a:ext cx="69006" cy="8072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2149542" y="205490"/>
        <a:ext cx="69006" cy="80724"/>
      </dsp:txXfrm>
    </dsp:sp>
    <dsp:sp modelId="{764362B9-3FDB-4F51-B07E-1200268834C7}">
      <dsp:nvSpPr>
        <dsp:cNvPr id="0" name=""/>
        <dsp:cNvSpPr/>
      </dsp:nvSpPr>
      <dsp:spPr>
        <a:xfrm>
          <a:off x="2247194" y="0"/>
          <a:ext cx="992011" cy="49170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b="1" kern="1200"/>
            <a:t>Moduł II</a:t>
          </a:r>
        </a:p>
      </dsp:txBody>
      <dsp:txXfrm>
        <a:off x="2247194" y="0"/>
        <a:ext cx="992011" cy="491705"/>
      </dsp:txXfrm>
    </dsp:sp>
    <dsp:sp modelId="{14D2F820-EE6B-4F70-8B44-A6F8BE091894}">
      <dsp:nvSpPr>
        <dsp:cNvPr id="0" name=""/>
        <dsp:cNvSpPr/>
      </dsp:nvSpPr>
      <dsp:spPr>
        <a:xfrm>
          <a:off x="3271756" y="205490"/>
          <a:ext cx="69006" cy="8072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3271756" y="205490"/>
        <a:ext cx="69006" cy="80724"/>
      </dsp:txXfrm>
    </dsp:sp>
    <dsp:sp modelId="{243B36E6-4497-438F-A371-7AE1609B9F78}">
      <dsp:nvSpPr>
        <dsp:cNvPr id="0" name=""/>
        <dsp:cNvSpPr/>
      </dsp:nvSpPr>
      <dsp:spPr>
        <a:xfrm>
          <a:off x="3369407" y="0"/>
          <a:ext cx="992011" cy="49170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b="1" kern="1200"/>
            <a:t>Moduł III</a:t>
          </a:r>
        </a:p>
      </dsp:txBody>
      <dsp:txXfrm>
        <a:off x="3369407" y="0"/>
        <a:ext cx="992011" cy="491705"/>
      </dsp:txXfrm>
    </dsp:sp>
    <dsp:sp modelId="{4E7DA9EC-2B8E-4C85-A8DE-2EAD3261BCC9}">
      <dsp:nvSpPr>
        <dsp:cNvPr id="0" name=""/>
        <dsp:cNvSpPr/>
      </dsp:nvSpPr>
      <dsp:spPr>
        <a:xfrm>
          <a:off x="4393969" y="205490"/>
          <a:ext cx="69006" cy="8072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4393969" y="205490"/>
        <a:ext cx="69006" cy="80724"/>
      </dsp:txXfrm>
    </dsp:sp>
    <dsp:sp modelId="{59187C91-6904-48C0-B7DD-09859ECC4182}">
      <dsp:nvSpPr>
        <dsp:cNvPr id="0" name=""/>
        <dsp:cNvSpPr/>
      </dsp:nvSpPr>
      <dsp:spPr>
        <a:xfrm>
          <a:off x="4491620" y="0"/>
          <a:ext cx="992011" cy="49170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b="1" kern="1200"/>
            <a:t>Moduł IV</a:t>
          </a:r>
        </a:p>
      </dsp:txBody>
      <dsp:txXfrm>
        <a:off x="4491620" y="0"/>
        <a:ext cx="992011" cy="491705"/>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7B5F92E-EEF9-4366-B4B8-505839A2E53A}">
      <dsp:nvSpPr>
        <dsp:cNvPr id="0" name=""/>
        <dsp:cNvSpPr/>
      </dsp:nvSpPr>
      <dsp:spPr>
        <a:xfrm>
          <a:off x="2772" y="0"/>
          <a:ext cx="1003357" cy="1033670"/>
        </a:xfrm>
        <a:prstGeom prst="roundRect">
          <a:avLst>
            <a:gd name="adj" fmla="val 10000"/>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solidFill>
                <a:sysClr val="windowText" lastClr="000000"/>
              </a:solidFill>
            </a:rPr>
            <a:t>odtworzenie logiki interwencji i budowa modelu logicznego</a:t>
          </a:r>
        </a:p>
      </dsp:txBody>
      <dsp:txXfrm>
        <a:off x="2772" y="0"/>
        <a:ext cx="1003357" cy="1033670"/>
      </dsp:txXfrm>
    </dsp:sp>
    <dsp:sp modelId="{026D321D-A266-4AB7-9438-A6EEC13B6099}">
      <dsp:nvSpPr>
        <dsp:cNvPr id="0" name=""/>
        <dsp:cNvSpPr/>
      </dsp:nvSpPr>
      <dsp:spPr>
        <a:xfrm>
          <a:off x="1032121" y="489907"/>
          <a:ext cx="61489" cy="71930"/>
        </a:xfrm>
        <a:prstGeom prst="rightArrow">
          <a:avLst>
            <a:gd name="adj1" fmla="val 60000"/>
            <a:gd name="adj2" fmla="val 50000"/>
          </a:avLst>
        </a:prstGeom>
        <a:solidFill>
          <a:schemeClr val="accent1">
            <a:tint val="60000"/>
            <a:hueOff val="0"/>
            <a:satOff val="0"/>
            <a:lumOff val="0"/>
            <a:alpha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1032121" y="489907"/>
        <a:ext cx="61489" cy="71930"/>
      </dsp:txXfrm>
    </dsp:sp>
    <dsp:sp modelId="{4E858739-39F2-431B-A4DB-E3CAF79593AC}">
      <dsp:nvSpPr>
        <dsp:cNvPr id="0" name=""/>
        <dsp:cNvSpPr/>
      </dsp:nvSpPr>
      <dsp:spPr>
        <a:xfrm>
          <a:off x="1122147" y="0"/>
          <a:ext cx="1003357" cy="1033670"/>
        </a:xfrm>
        <a:prstGeom prst="roundRect">
          <a:avLst>
            <a:gd name="adj" fmla="val 10000"/>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solidFill>
                <a:sysClr val="windowText" lastClr="000000"/>
              </a:solidFill>
            </a:rPr>
            <a:t>weryfikacja logiki interwencji (spójność wewnętrzna)</a:t>
          </a:r>
        </a:p>
      </dsp:txBody>
      <dsp:txXfrm>
        <a:off x="1122147" y="0"/>
        <a:ext cx="1003357" cy="1033670"/>
      </dsp:txXfrm>
    </dsp:sp>
    <dsp:sp modelId="{293FBD5D-7190-4C05-92C4-45CCA5528FFD}">
      <dsp:nvSpPr>
        <dsp:cNvPr id="0" name=""/>
        <dsp:cNvSpPr/>
      </dsp:nvSpPr>
      <dsp:spPr>
        <a:xfrm>
          <a:off x="2154508" y="480869"/>
          <a:ext cx="61489" cy="71930"/>
        </a:xfrm>
        <a:prstGeom prst="rightArrow">
          <a:avLst>
            <a:gd name="adj1" fmla="val 60000"/>
            <a:gd name="adj2" fmla="val 50000"/>
          </a:avLst>
        </a:prstGeom>
        <a:solidFill>
          <a:schemeClr val="accent1">
            <a:tint val="60000"/>
            <a:hueOff val="0"/>
            <a:satOff val="0"/>
            <a:lumOff val="0"/>
            <a:alpha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2154508" y="480869"/>
        <a:ext cx="61489" cy="71930"/>
      </dsp:txXfrm>
    </dsp:sp>
    <dsp:sp modelId="{764362B9-3FDB-4F51-B07E-1200268834C7}">
      <dsp:nvSpPr>
        <dsp:cNvPr id="0" name=""/>
        <dsp:cNvSpPr/>
      </dsp:nvSpPr>
      <dsp:spPr>
        <a:xfrm>
          <a:off x="2241521" y="0"/>
          <a:ext cx="1003357" cy="1033670"/>
        </a:xfrm>
        <a:prstGeom prst="roundRect">
          <a:avLst>
            <a:gd name="adj" fmla="val 10000"/>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solidFill>
                <a:sysClr val="windowText" lastClr="000000"/>
              </a:solidFill>
            </a:rPr>
            <a:t>weryfikacja logiki interwencji (spójność zewnętrzna)</a:t>
          </a:r>
        </a:p>
      </dsp:txBody>
      <dsp:txXfrm>
        <a:off x="2241521" y="0"/>
        <a:ext cx="1003357" cy="1033670"/>
      </dsp:txXfrm>
    </dsp:sp>
    <dsp:sp modelId="{14D2F820-EE6B-4F70-8B44-A6F8BE091894}">
      <dsp:nvSpPr>
        <dsp:cNvPr id="0" name=""/>
        <dsp:cNvSpPr/>
      </dsp:nvSpPr>
      <dsp:spPr>
        <a:xfrm>
          <a:off x="3273882" y="480869"/>
          <a:ext cx="61489" cy="71930"/>
        </a:xfrm>
        <a:prstGeom prst="rightArrow">
          <a:avLst>
            <a:gd name="adj1" fmla="val 60000"/>
            <a:gd name="adj2" fmla="val 50000"/>
          </a:avLst>
        </a:prstGeom>
        <a:solidFill>
          <a:schemeClr val="accent1">
            <a:tint val="60000"/>
            <a:hueOff val="0"/>
            <a:satOff val="0"/>
            <a:lumOff val="0"/>
            <a:alpha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3273882" y="480869"/>
        <a:ext cx="61489" cy="71930"/>
      </dsp:txXfrm>
    </dsp:sp>
    <dsp:sp modelId="{243B36E6-4497-438F-A371-7AE1609B9F78}">
      <dsp:nvSpPr>
        <dsp:cNvPr id="0" name=""/>
        <dsp:cNvSpPr/>
      </dsp:nvSpPr>
      <dsp:spPr>
        <a:xfrm>
          <a:off x="3360895" y="0"/>
          <a:ext cx="1003357" cy="1033670"/>
        </a:xfrm>
        <a:prstGeom prst="roundRect">
          <a:avLst>
            <a:gd name="adj" fmla="val 10000"/>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solidFill>
                <a:sysClr val="windowText" lastClr="000000"/>
              </a:solidFill>
            </a:rPr>
            <a:t>odtworzenie i weryfikacja sysytemu realizacji; zaprojektowanie przyszłej ewaluacji</a:t>
          </a:r>
        </a:p>
      </dsp:txBody>
      <dsp:txXfrm>
        <a:off x="3360895" y="0"/>
        <a:ext cx="1003357" cy="1033670"/>
      </dsp:txXfrm>
    </dsp:sp>
    <dsp:sp modelId="{4E7DA9EC-2B8E-4C85-A8DE-2EAD3261BCC9}">
      <dsp:nvSpPr>
        <dsp:cNvPr id="0" name=""/>
        <dsp:cNvSpPr/>
      </dsp:nvSpPr>
      <dsp:spPr>
        <a:xfrm>
          <a:off x="4393257" y="480869"/>
          <a:ext cx="61489" cy="71930"/>
        </a:xfrm>
        <a:prstGeom prst="rightArrow">
          <a:avLst>
            <a:gd name="adj1" fmla="val 60000"/>
            <a:gd name="adj2" fmla="val 50000"/>
          </a:avLst>
        </a:prstGeom>
        <a:solidFill>
          <a:schemeClr val="accent1">
            <a:tint val="60000"/>
            <a:hueOff val="0"/>
            <a:satOff val="0"/>
            <a:lumOff val="0"/>
            <a:alpha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4393257" y="480869"/>
        <a:ext cx="61489" cy="71930"/>
      </dsp:txXfrm>
    </dsp:sp>
    <dsp:sp modelId="{59187C91-6904-48C0-B7DD-09859ECC4182}">
      <dsp:nvSpPr>
        <dsp:cNvPr id="0" name=""/>
        <dsp:cNvSpPr/>
      </dsp:nvSpPr>
      <dsp:spPr>
        <a:xfrm>
          <a:off x="4480270" y="0"/>
          <a:ext cx="1003357" cy="1033670"/>
        </a:xfrm>
        <a:prstGeom prst="roundRect">
          <a:avLst>
            <a:gd name="adj" fmla="val 10000"/>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solidFill>
                <a:sysClr val="windowText" lastClr="000000"/>
              </a:solidFill>
            </a:rPr>
            <a:t>wypracowanie propozycji zmian w programie</a:t>
          </a:r>
        </a:p>
      </dsp:txBody>
      <dsp:txXfrm>
        <a:off x="4480270" y="0"/>
        <a:ext cx="1003357" cy="103367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test">
      <a:dk1>
        <a:srgbClr val="1F497D"/>
      </a:dk1>
      <a:lt1>
        <a:sysClr val="window" lastClr="FFFFFF"/>
      </a:lt1>
      <a:dk2>
        <a:srgbClr val="1F497D"/>
      </a:dk2>
      <a:lt2>
        <a:srgbClr val="F2F2F2"/>
      </a:lt2>
      <a:accent1>
        <a:srgbClr val="366092"/>
      </a:accent1>
      <a:accent2>
        <a:srgbClr val="C0504D"/>
      </a:accent2>
      <a:accent3>
        <a:srgbClr val="9BBB59"/>
      </a:accent3>
      <a:accent4>
        <a:srgbClr val="8064A2"/>
      </a:accent4>
      <a:accent5>
        <a:srgbClr val="1F6F29"/>
      </a:accent5>
      <a:accent6>
        <a:srgbClr val="1F497D"/>
      </a:accent6>
      <a:hlink>
        <a:srgbClr val="0000FF"/>
      </a:hlink>
      <a:folHlink>
        <a:srgbClr val="800080"/>
      </a:folHlink>
    </a:clrScheme>
    <a:fontScheme name="Niestandardowy 7">
      <a:majorFont>
        <a:latin typeface="Calibri Light"/>
        <a:ea typeface=""/>
        <a:cs typeface=""/>
      </a:majorFont>
      <a:minorFont>
        <a:latin typeface="Calibri"/>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3555FD-F40C-4A33-B8E5-5FAF0D94CB90}">
  <ds:schemaRefs>
    <ds:schemaRef ds:uri="http://schemas.openxmlformats.org/officeDocument/2006/bibliography"/>
  </ds:schemaRefs>
</ds:datastoreItem>
</file>

<file path=customXml/itemProps2.xml><?xml version="1.0" encoding="utf-8"?>
<ds:datastoreItem xmlns:ds="http://schemas.openxmlformats.org/officeDocument/2006/customXml" ds:itemID="{D7D0A87D-8962-4C49-895F-2A1C75C03483}">
  <ds:schemaRefs>
    <ds:schemaRef ds:uri="http://schemas.openxmlformats.org/officeDocument/2006/bibliography"/>
  </ds:schemaRefs>
</ds:datastoreItem>
</file>

<file path=customXml/itemProps3.xml><?xml version="1.0" encoding="utf-8"?>
<ds:datastoreItem xmlns:ds="http://schemas.openxmlformats.org/officeDocument/2006/customXml" ds:itemID="{9EB711A5-EF32-41A8-84E9-532DEC5B11E6}">
  <ds:schemaRefs>
    <ds:schemaRef ds:uri="http://schemas.openxmlformats.org/officeDocument/2006/bibliography"/>
  </ds:schemaRefs>
</ds:datastoreItem>
</file>

<file path=customXml/itemProps4.xml><?xml version="1.0" encoding="utf-8"?>
<ds:datastoreItem xmlns:ds="http://schemas.openxmlformats.org/officeDocument/2006/customXml" ds:itemID="{D3E2B87F-AFA7-4568-ACA5-F7B2E53DB34C}">
  <ds:schemaRefs>
    <ds:schemaRef ds:uri="http://schemas.openxmlformats.org/officeDocument/2006/bibliography"/>
  </ds:schemaRefs>
</ds:datastoreItem>
</file>

<file path=customXml/itemProps5.xml><?xml version="1.0" encoding="utf-8"?>
<ds:datastoreItem xmlns:ds="http://schemas.openxmlformats.org/officeDocument/2006/customXml" ds:itemID="{0ADCAB3A-B124-4DFF-BBCC-25633BBD42DB}">
  <ds:schemaRefs>
    <ds:schemaRef ds:uri="http://schemas.openxmlformats.org/officeDocument/2006/bibliography"/>
  </ds:schemaRefs>
</ds:datastoreItem>
</file>

<file path=customXml/itemProps6.xml><?xml version="1.0" encoding="utf-8"?>
<ds:datastoreItem xmlns:ds="http://schemas.openxmlformats.org/officeDocument/2006/customXml" ds:itemID="{66F13290-A6A3-450F-8A33-A8195254E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szablon_oferta_IBS_2</Template>
  <TotalTime>15</TotalTime>
  <Pages>189</Pages>
  <Words>60966</Words>
  <Characters>365796</Characters>
  <Application>Microsoft Office Word</Application>
  <DocSecurity>0</DocSecurity>
  <Lines>3048</Lines>
  <Paragraphs>851</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Coffey International Limited</Company>
  <LinksUpToDate>false</LinksUpToDate>
  <CharactersWithSpaces>425911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Andrzej Regulski</dc:creator>
  <cp:lastModifiedBy>j.mazur</cp:lastModifiedBy>
  <cp:revision>4</cp:revision>
  <cp:lastPrinted>2015-03-02T14:00:00Z</cp:lastPrinted>
  <dcterms:created xsi:type="dcterms:W3CDTF">2014-12-10T09:51:00Z</dcterms:created>
  <dcterms:modified xsi:type="dcterms:W3CDTF">2015-03-04T13:25:00Z</dcterms:modified>
</cp:coreProperties>
</file>